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38366391"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742DBE">
        <w:t>1</w:t>
      </w:r>
      <w:r w:rsidR="003571FB">
        <w:t>2</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72582E25" w14:textId="6051173A" w:rsidR="00F13012" w:rsidRPr="00B840DF" w:rsidRDefault="00B5081D" w:rsidP="00677751">
      <w:pPr>
        <w:ind w:left="2835" w:firstLine="2977"/>
        <w:rPr>
          <w:rFonts w:ascii="Tahoma" w:hAnsi="Tahoma" w:cs="Tahoma"/>
          <w:b/>
          <w:strike/>
        </w:rPr>
      </w:pPr>
      <w:r>
        <w:t xml:space="preserve">района </w:t>
      </w:r>
      <w:r w:rsidR="00677751">
        <w:t>от 09.08.2023 № 397-па</w:t>
      </w:r>
      <w:bookmarkStart w:id="2" w:name="_GoBack"/>
      <w:bookmarkEnd w:id="2"/>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673A8458"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3571FB">
        <w:rPr>
          <w:b/>
        </w:rPr>
        <w:t>ЦАРИЦЫНСКОГО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963508">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963508">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963508">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96350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96350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963508">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963508">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96350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96350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96350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96350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96350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963508">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963508">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3" w:name="_Toc81901128"/>
      <w:bookmarkStart w:id="4" w:name="_Toc85181039"/>
      <w:bookmarkStart w:id="5" w:name="_Toc85182482"/>
      <w:bookmarkStart w:id="6" w:name="_Toc85190220"/>
      <w:bookmarkStart w:id="7" w:name="_Toc85192721"/>
      <w:bookmarkStart w:id="8" w:name="_Toc85193439"/>
      <w:bookmarkStart w:id="9" w:name="_Toc85197801"/>
      <w:bookmarkStart w:id="10" w:name="_Toc85215153"/>
      <w:bookmarkStart w:id="11" w:name="_Toc85461016"/>
      <w:bookmarkStart w:id="12" w:name="_Toc85466895"/>
      <w:bookmarkStart w:id="13" w:name="_Toc88737760"/>
      <w:bookmarkStart w:id="14" w:name="_Toc88749265"/>
      <w:bookmarkStart w:id="15" w:name="_Toc88751986"/>
      <w:bookmarkStart w:id="16" w:name="_Toc109933601"/>
      <w:bookmarkStart w:id="17" w:name="_Toc523245355"/>
      <w:bookmarkStart w:id="18" w:name="_Toc6500523"/>
      <w:bookmarkStart w:id="19" w:name="_Toc6567852"/>
      <w:bookmarkStart w:id="20" w:name="_Toc6569457"/>
      <w:bookmarkStart w:id="21" w:name="_Toc6578689"/>
      <w:bookmarkStart w:id="22" w:name="_Toc6667180"/>
      <w:bookmarkStart w:id="23" w:name="_Toc6672893"/>
      <w:bookmarkStart w:id="24" w:name="_Toc40626739"/>
      <w:bookmarkStart w:id="25" w:name="_Toc458612916"/>
      <w:bookmarkStart w:id="26" w:name="_Toc458692712"/>
      <w:bookmarkStart w:id="27" w:name="_Toc458710012"/>
      <w:bookmarkStart w:id="28" w:name="_Toc458766698"/>
      <w:bookmarkStart w:id="29" w:name="_Toc458785213"/>
      <w:bookmarkStart w:id="30" w:name="_Toc458788781"/>
      <w:bookmarkStart w:id="31" w:name="_Toc458824272"/>
      <w:bookmarkStart w:id="32" w:name="_Toc458873174"/>
      <w:bookmarkStart w:id="33" w:name="_Toc458948913"/>
      <w:bookmarkStart w:id="34" w:name="_Toc458969767"/>
      <w:bookmarkStart w:id="35" w:name="_Toc458969825"/>
      <w:bookmarkStart w:id="36" w:name="_Toc459029046"/>
      <w:bookmarkStart w:id="37" w:name="_Toc459035936"/>
      <w:bookmarkStart w:id="38" w:name="_Toc459036765"/>
      <w:bookmarkStart w:id="39" w:name="_Toc459042135"/>
      <w:bookmarkStart w:id="40" w:name="_Toc459044607"/>
      <w:bookmarkStart w:id="41" w:name="_Toc459050705"/>
      <w:bookmarkStart w:id="42" w:name="_Toc459051275"/>
      <w:bookmarkStart w:id="43" w:name="_Toc459052225"/>
      <w:bookmarkStart w:id="44" w:name="_Toc459054156"/>
      <w:bookmarkStart w:id="45" w:name="_Toc459054966"/>
      <w:bookmarkStart w:id="46" w:name="_Toc459130791"/>
      <w:bookmarkStart w:id="47" w:name="_Toc459199894"/>
      <w:bookmarkStart w:id="48" w:name="_Toc459202005"/>
      <w:bookmarkStart w:id="49" w:name="_Toc459132824"/>
      <w:bookmarkStart w:id="50" w:name="_Toc459140587"/>
      <w:bookmarkStart w:id="51" w:name="_Toc459141228"/>
      <w:bookmarkStart w:id="52" w:name="_Toc459202429"/>
      <w:bookmarkStart w:id="53" w:name="_Toc459302239"/>
      <w:bookmarkStart w:id="54" w:name="_Toc459308275"/>
      <w:bookmarkStart w:id="55" w:name="_Toc459308629"/>
      <w:bookmarkStart w:id="56" w:name="_Toc459308803"/>
      <w:bookmarkStart w:id="57" w:name="_Toc459308946"/>
      <w:r w:rsidRPr="00FB10F3">
        <w:rPr>
          <w:sz w:val="26"/>
          <w:szCs w:val="26"/>
          <w:lang w:val="ru-RU"/>
        </w:rPr>
        <w:lastRenderedPageBreak/>
        <w:t>ОСНОВНАЯ ЧАСТЬ</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8" w:name="_Toc81901130"/>
      <w:bookmarkStart w:id="59" w:name="_Toc85181041"/>
      <w:bookmarkStart w:id="60" w:name="_Toc85182484"/>
      <w:bookmarkStart w:id="61" w:name="_Toc85190222"/>
      <w:bookmarkStart w:id="62" w:name="_Toc85192723"/>
      <w:bookmarkStart w:id="63" w:name="_Toc85193441"/>
      <w:bookmarkStart w:id="64" w:name="_Toc85197803"/>
      <w:bookmarkStart w:id="65" w:name="_Toc85215155"/>
      <w:bookmarkStart w:id="66" w:name="_Toc85461017"/>
      <w:bookmarkStart w:id="67" w:name="_Toc85466896"/>
      <w:bookmarkStart w:id="68" w:name="_Toc88737761"/>
      <w:bookmarkStart w:id="69" w:name="_Toc88749266"/>
      <w:bookmarkStart w:id="70" w:name="_Toc88751987"/>
      <w:bookmarkStart w:id="71" w:name="_Toc109933602"/>
      <w:bookmarkStart w:id="72" w:name="_Toc40626741"/>
      <w:r w:rsidRPr="00FB10F3">
        <w:rPr>
          <w:sz w:val="26"/>
          <w:szCs w:val="26"/>
          <w:lang w:val="ru-RU"/>
        </w:rPr>
        <w:t>ТЕРМИНЫ И ОПРЕДЕЛЕНИЯ</w: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FB10F3">
        <w:rPr>
          <w:sz w:val="26"/>
          <w:szCs w:val="26"/>
          <w:lang w:val="ru-RU"/>
        </w:rPr>
        <w:t xml:space="preserve"> </w:t>
      </w:r>
    </w:p>
    <w:bookmarkEnd w:id="72"/>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3" w:name="_Toc81901131"/>
      <w:bookmarkStart w:id="74" w:name="_Toc85181042"/>
      <w:bookmarkStart w:id="75" w:name="_Toc85182485"/>
      <w:bookmarkStart w:id="76" w:name="_Toc85190223"/>
      <w:bookmarkStart w:id="77" w:name="_Toc85192724"/>
      <w:bookmarkStart w:id="78" w:name="_Toc85193442"/>
      <w:bookmarkStart w:id="79" w:name="_Toc85197804"/>
      <w:bookmarkStart w:id="80" w:name="_Toc85215156"/>
      <w:bookmarkStart w:id="81" w:name="_Toc85461018"/>
      <w:bookmarkStart w:id="82" w:name="_Toc85466897"/>
      <w:bookmarkStart w:id="83" w:name="_Toc88737762"/>
      <w:bookmarkStart w:id="84" w:name="_Toc88749267"/>
      <w:bookmarkStart w:id="85" w:name="_Toc88751988"/>
      <w:bookmarkStart w:id="86" w:name="_Toc109933603"/>
      <w:r w:rsidRPr="00FB10F3">
        <w:rPr>
          <w:sz w:val="26"/>
          <w:szCs w:val="26"/>
          <w:lang w:val="ru-RU"/>
        </w:rPr>
        <w:t>ОБЩИЕ ПОЛОЖЕНИЯ</w:t>
      </w:r>
      <w:bookmarkEnd w:id="17"/>
      <w:bookmarkEnd w:id="18"/>
      <w:bookmarkEnd w:id="19"/>
      <w:bookmarkEnd w:id="20"/>
      <w:bookmarkEnd w:id="21"/>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7" w:name="_Toc523245357"/>
      <w:bookmarkStart w:id="88" w:name="_Toc10738646"/>
      <w:bookmarkStart w:id="89" w:name="_Toc10740013"/>
      <w:bookmarkStart w:id="90" w:name="_Toc40626743"/>
      <w:bookmarkStart w:id="91" w:name="_Toc85181043"/>
      <w:bookmarkStart w:id="92" w:name="_Toc85182486"/>
      <w:bookmarkStart w:id="93" w:name="_Toc85190224"/>
      <w:bookmarkStart w:id="94" w:name="_Toc85192725"/>
      <w:bookmarkStart w:id="95" w:name="_Toc85193443"/>
      <w:bookmarkStart w:id="96" w:name="_Toc85197805"/>
      <w:bookmarkStart w:id="97" w:name="_Toc85215157"/>
      <w:bookmarkStart w:id="98" w:name="_Toc81901132"/>
      <w:bookmarkStart w:id="99" w:name="_Toc85461019"/>
      <w:bookmarkStart w:id="100" w:name="_Toc85466898"/>
      <w:bookmarkStart w:id="101" w:name="_Toc88737763"/>
      <w:bookmarkStart w:id="102" w:name="_Toc88749268"/>
      <w:bookmarkStart w:id="103" w:name="_Toc88751989"/>
      <w:bookmarkStart w:id="104" w:name="_Toc10993360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87"/>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5" w:name="_Toc6500534"/>
      <w:bookmarkStart w:id="106" w:name="_Toc6567863"/>
      <w:bookmarkStart w:id="107" w:name="_Toc6569468"/>
      <w:bookmarkStart w:id="108" w:name="_Toc6578700"/>
      <w:bookmarkStart w:id="109" w:name="_Toc6667191"/>
      <w:bookmarkStart w:id="110" w:name="_Toc6672904"/>
      <w:bookmarkStart w:id="111" w:name="_Toc10738654"/>
      <w:bookmarkStart w:id="112" w:name="_Toc10740021"/>
      <w:bookmarkStart w:id="113" w:name="_Toc40626751"/>
      <w:bookmarkStart w:id="114" w:name="_Toc81901141"/>
      <w:bookmarkStart w:id="115" w:name="_Toc85181045"/>
      <w:bookmarkStart w:id="116" w:name="_Toc85182488"/>
      <w:bookmarkStart w:id="117" w:name="_Toc85190226"/>
      <w:bookmarkStart w:id="118" w:name="_Toc85192727"/>
      <w:bookmarkStart w:id="119" w:name="_Toc85193445"/>
      <w:bookmarkStart w:id="120" w:name="_Toc85197807"/>
      <w:bookmarkStart w:id="121" w:name="_Toc85215159"/>
      <w:bookmarkStart w:id="122" w:name="_Toc85461021"/>
      <w:bookmarkStart w:id="123" w:name="_Toc85466900"/>
      <w:bookmarkStart w:id="124" w:name="_Toc88737764"/>
      <w:bookmarkStart w:id="125" w:name="_Toc88749269"/>
      <w:bookmarkStart w:id="126" w:name="_Toc88751990"/>
      <w:bookmarkStart w:id="127" w:name="_Toc109933605"/>
      <w:r w:rsidRPr="00FB10F3">
        <w:rPr>
          <w:sz w:val="24"/>
          <w:szCs w:val="24"/>
          <w:lang w:val="ru-RU" w:eastAsia="ru-RU"/>
        </w:rPr>
        <w:t>В области автомобильных дорог</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4"/>
      <w:bookmarkEnd w:id="125"/>
      <w:bookmarkEnd w:id="126"/>
      <w:bookmarkEnd w:id="127"/>
    </w:p>
    <w:p w14:paraId="0FB747AE" w14:textId="15DEC627" w:rsidR="006A6C1F" w:rsidRPr="00FB10F3" w:rsidRDefault="006C0492" w:rsidP="00735E0D">
      <w:pPr>
        <w:pStyle w:val="af1"/>
        <w:spacing w:after="0"/>
        <w:jc w:val="both"/>
        <w:rPr>
          <w:szCs w:val="22"/>
        </w:rPr>
      </w:pPr>
      <w:bookmarkStart w:id="128" w:name="_Toc6667198"/>
      <w:bookmarkStart w:id="129" w:name="_Toc6672911"/>
      <w:bookmarkStart w:id="130" w:name="_Toc10738661"/>
      <w:bookmarkStart w:id="131" w:name="_Toc10740028"/>
      <w:bookmarkStart w:id="132" w:name="_Toc85181051"/>
      <w:bookmarkStart w:id="133" w:name="_Toc85182494"/>
      <w:bookmarkStart w:id="134" w:name="_Toc85190232"/>
      <w:bookmarkStart w:id="135" w:name="_Toc85192733"/>
      <w:bookmarkStart w:id="136" w:name="_Toc85193451"/>
      <w:bookmarkStart w:id="137" w:name="_Toc85197813"/>
      <w:bookmarkStart w:id="138" w:name="_Toc85215165"/>
      <w:bookmarkStart w:id="139" w:name="_Toc40626758"/>
      <w:bookmarkStart w:id="140" w:name="_Toc81901143"/>
      <w:bookmarkStart w:id="141" w:name="_Toc6567861"/>
      <w:bookmarkStart w:id="142" w:name="_Toc6500532"/>
      <w:bookmarkStart w:id="143" w:name="_Toc6569466"/>
      <w:bookmarkStart w:id="144" w:name="_Toc6578698"/>
      <w:bookmarkStart w:id="145" w:name="_Toc458612943"/>
      <w:bookmarkStart w:id="146" w:name="_Toc458692739"/>
      <w:bookmarkStart w:id="147"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8"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8"/>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9" w:name="_Toc81901138"/>
      <w:bookmarkStart w:id="150" w:name="_Toc85181052"/>
      <w:bookmarkStart w:id="151" w:name="_Toc85182495"/>
      <w:bookmarkStart w:id="152" w:name="_Toc85190233"/>
      <w:bookmarkStart w:id="153" w:name="_Toc85192734"/>
      <w:bookmarkStart w:id="154" w:name="_Toc85193452"/>
      <w:bookmarkStart w:id="155" w:name="_Toc85197814"/>
      <w:bookmarkStart w:id="156" w:name="_Toc85215166"/>
      <w:bookmarkStart w:id="157" w:name="_Toc85461023"/>
      <w:bookmarkStart w:id="158" w:name="_Toc85466902"/>
      <w:bookmarkStart w:id="159" w:name="_Toc88737765"/>
      <w:bookmarkStart w:id="160" w:name="_Toc88749270"/>
      <w:bookmarkStart w:id="161" w:name="_Toc88751991"/>
      <w:bookmarkStart w:id="162" w:name="_Toc109933606"/>
      <w:bookmarkStart w:id="163" w:name="_Toc458948952"/>
      <w:bookmarkStart w:id="164" w:name="_Toc458969806"/>
      <w:bookmarkStart w:id="165" w:name="_Toc458969864"/>
      <w:bookmarkStart w:id="166" w:name="_Toc459029085"/>
      <w:bookmarkStart w:id="167" w:name="_Toc459035975"/>
      <w:bookmarkStart w:id="168" w:name="_Toc459036804"/>
      <w:bookmarkStart w:id="169" w:name="_Toc459042174"/>
      <w:bookmarkStart w:id="170" w:name="_Toc459044646"/>
      <w:bookmarkStart w:id="171" w:name="_Toc459050745"/>
      <w:bookmarkStart w:id="172" w:name="_Toc459051315"/>
      <w:bookmarkStart w:id="173" w:name="_Toc459052265"/>
      <w:bookmarkStart w:id="174" w:name="_Toc459054196"/>
      <w:bookmarkStart w:id="175" w:name="_Toc459055006"/>
      <w:bookmarkStart w:id="176" w:name="_Toc459130831"/>
      <w:bookmarkStart w:id="177" w:name="_Toc459199933"/>
      <w:bookmarkStart w:id="178" w:name="_Toc459202044"/>
      <w:bookmarkStart w:id="179" w:name="_Toc459132864"/>
      <w:bookmarkStart w:id="180" w:name="_Toc459141268"/>
      <w:bookmarkStart w:id="181" w:name="_Toc459202469"/>
      <w:bookmarkStart w:id="182" w:name="_Toc459302278"/>
      <w:bookmarkStart w:id="183" w:name="_Toc459308315"/>
      <w:bookmarkStart w:id="184" w:name="_Toc459308669"/>
      <w:bookmarkStart w:id="185" w:name="_Toc459308843"/>
      <w:bookmarkStart w:id="186" w:name="_Toc459308986"/>
      <w:bookmarkStart w:id="187" w:name="_Toc519865059"/>
      <w:bookmarkStart w:id="188" w:name="_Toc4601245"/>
      <w:bookmarkEnd w:id="128"/>
      <w:bookmarkEnd w:id="129"/>
      <w:bookmarkEnd w:id="130"/>
      <w:bookmarkEnd w:id="131"/>
      <w:bookmarkEnd w:id="132"/>
      <w:bookmarkEnd w:id="133"/>
      <w:bookmarkEnd w:id="134"/>
      <w:bookmarkEnd w:id="135"/>
      <w:bookmarkEnd w:id="136"/>
      <w:bookmarkEnd w:id="137"/>
      <w:bookmarkEnd w:id="138"/>
      <w:bookmarkEnd w:id="139"/>
      <w:bookmarkEnd w:id="140"/>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9" w:name="_Toc40626749"/>
      <w:bookmarkEnd w:id="149"/>
      <w:bookmarkEnd w:id="150"/>
      <w:bookmarkEnd w:id="151"/>
      <w:bookmarkEnd w:id="152"/>
      <w:bookmarkEnd w:id="153"/>
      <w:bookmarkEnd w:id="154"/>
      <w:bookmarkEnd w:id="155"/>
      <w:bookmarkEnd w:id="156"/>
      <w:r w:rsidR="00F43425" w:rsidRPr="00FB10F3">
        <w:rPr>
          <w:sz w:val="24"/>
          <w:szCs w:val="24"/>
        </w:rPr>
        <w:t xml:space="preserve"> населения</w:t>
      </w:r>
      <w:bookmarkEnd w:id="157"/>
      <w:bookmarkEnd w:id="158"/>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9"/>
      <w:bookmarkEnd w:id="160"/>
      <w:bookmarkEnd w:id="161"/>
      <w:bookmarkEnd w:id="162"/>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90" w:name="_Toc6667189"/>
      <w:bookmarkStart w:id="191" w:name="_Toc6672902"/>
      <w:bookmarkStart w:id="192" w:name="_Toc10738652"/>
      <w:bookmarkStart w:id="193" w:name="_Toc10740019"/>
      <w:bookmarkEnd w:id="141"/>
      <w:bookmarkEnd w:id="142"/>
      <w:bookmarkEnd w:id="143"/>
      <w:bookmarkEnd w:id="144"/>
      <w:bookmarkEnd w:id="145"/>
      <w:bookmarkEnd w:id="146"/>
      <w:bookmarkEnd w:id="14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4" w:name="_Toc85461025"/>
      <w:bookmarkStart w:id="195" w:name="_Toc85466904"/>
      <w:bookmarkStart w:id="196" w:name="_Toc88737766"/>
      <w:bookmarkStart w:id="197" w:name="_Toc88749271"/>
      <w:bookmarkStart w:id="198" w:name="_Toc88751992"/>
      <w:bookmarkStart w:id="199" w:name="_Toc109933607"/>
      <w:bookmarkStart w:id="200" w:name="_Toc10738662"/>
      <w:bookmarkStart w:id="201" w:name="_Toc10740029"/>
      <w:bookmarkStart w:id="202" w:name="_Toc40626766"/>
      <w:bookmarkStart w:id="203" w:name="_Toc81901163"/>
      <w:bookmarkStart w:id="204" w:name="_Toc85181073"/>
      <w:bookmarkStart w:id="205" w:name="_Toc85182516"/>
      <w:bookmarkStart w:id="206" w:name="_Toc85190254"/>
      <w:bookmarkStart w:id="207" w:name="_Toc85192755"/>
      <w:bookmarkStart w:id="208" w:name="_Toc85193473"/>
      <w:bookmarkStart w:id="209" w:name="_Toc85197835"/>
      <w:bookmarkStart w:id="210"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4"/>
      <w:bookmarkEnd w:id="195"/>
      <w:bookmarkEnd w:id="196"/>
      <w:bookmarkEnd w:id="197"/>
      <w:bookmarkEnd w:id="198"/>
      <w:bookmarkEnd w:id="199"/>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1" w:name="_Toc88737767"/>
      <w:bookmarkStart w:id="212" w:name="_Toc88749272"/>
      <w:bookmarkStart w:id="213" w:name="_Toc88751993"/>
      <w:bookmarkStart w:id="214"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1"/>
      <w:bookmarkEnd w:id="212"/>
      <w:bookmarkEnd w:id="213"/>
      <w:bookmarkEnd w:id="214"/>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5" w:name="_Toc44928912"/>
      <w:bookmarkStart w:id="216" w:name="_Toc81901146"/>
      <w:bookmarkStart w:id="217" w:name="_Toc85181057"/>
      <w:bookmarkStart w:id="218" w:name="_Toc85182500"/>
      <w:bookmarkStart w:id="219" w:name="_Toc85190238"/>
      <w:bookmarkStart w:id="220" w:name="_Toc85192739"/>
      <w:bookmarkStart w:id="221" w:name="_Toc85193457"/>
      <w:bookmarkStart w:id="222" w:name="_Toc85197819"/>
      <w:bookmarkStart w:id="223" w:name="_Toc85215171"/>
      <w:bookmarkStart w:id="224" w:name="_Toc85461027"/>
      <w:bookmarkStart w:id="225" w:name="_Toc85466906"/>
      <w:bookmarkStart w:id="226" w:name="_Toc88737768"/>
      <w:bookmarkStart w:id="227" w:name="_Toc88749273"/>
      <w:bookmarkStart w:id="228" w:name="_Toc88751994"/>
      <w:bookmarkStart w:id="229" w:name="_Toc109933609"/>
      <w:r w:rsidRPr="00FB10F3">
        <w:rPr>
          <w:sz w:val="24"/>
          <w:szCs w:val="24"/>
          <w:lang w:val="ru-RU" w:eastAsia="ru-RU"/>
        </w:rPr>
        <w:t>Административно-территориальное устройство</w:t>
      </w:r>
      <w:bookmarkEnd w:id="215"/>
      <w:bookmarkEnd w:id="216"/>
      <w:bookmarkEnd w:id="217"/>
      <w:bookmarkEnd w:id="218"/>
      <w:bookmarkEnd w:id="219"/>
      <w:bookmarkEnd w:id="220"/>
      <w:bookmarkEnd w:id="221"/>
      <w:bookmarkEnd w:id="222"/>
      <w:bookmarkEnd w:id="223"/>
      <w:bookmarkEnd w:id="224"/>
      <w:bookmarkEnd w:id="225"/>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6"/>
      <w:bookmarkEnd w:id="227"/>
      <w:bookmarkEnd w:id="228"/>
      <w:bookmarkEnd w:id="229"/>
      <w:r w:rsidR="00BB1404" w:rsidRPr="00FB10F3">
        <w:rPr>
          <w:sz w:val="24"/>
          <w:szCs w:val="24"/>
          <w:lang w:val="ru-RU" w:eastAsia="ru-RU"/>
        </w:rPr>
        <w:t xml:space="preserve"> </w:t>
      </w:r>
    </w:p>
    <w:p w14:paraId="15827EF7" w14:textId="2F42D234"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3571FB">
        <w:rPr>
          <w:lang w:val="ru-RU" w:eastAsia="ru-RU"/>
        </w:rPr>
        <w:t>Царицынского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 xml:space="preserve">входит </w:t>
      </w:r>
      <w:r w:rsidR="003571FB">
        <w:rPr>
          <w:lang w:val="ru-RU" w:eastAsia="ru-RU"/>
        </w:rPr>
        <w:t>2</w:t>
      </w:r>
      <w:r w:rsidR="00C51781" w:rsidRPr="00C51781">
        <w:rPr>
          <w:lang w:val="ru-RU" w:eastAsia="ru-RU"/>
        </w:rPr>
        <w:t xml:space="preserve"> населенных пункт</w:t>
      </w:r>
      <w:r w:rsidR="003571FB">
        <w:rPr>
          <w:lang w:val="ru-RU" w:eastAsia="ru-RU"/>
        </w:rPr>
        <w:t>а</w:t>
      </w:r>
      <w:r w:rsidR="00C51781" w:rsidRPr="00C51781">
        <w:rPr>
          <w:lang w:val="ru-RU" w:eastAsia="ru-RU"/>
        </w:rPr>
        <w:t xml:space="preserve">: </w:t>
      </w:r>
      <w:r w:rsidR="003571FB">
        <w:rPr>
          <w:lang w:val="ru-RU" w:eastAsia="ru-RU"/>
        </w:rPr>
        <w:t>с. Царицыно, д. Горошино</w:t>
      </w:r>
      <w:r w:rsidR="00C51781">
        <w:rPr>
          <w:lang w:val="ru-RU" w:eastAsia="ru-RU"/>
        </w:rPr>
        <w:t>.</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30" w:name="_Toc6673128"/>
      <w:bookmarkStart w:id="231" w:name="_Toc85181059"/>
      <w:bookmarkStart w:id="232" w:name="_Toc85182502"/>
      <w:bookmarkStart w:id="233" w:name="_Toc85190240"/>
      <w:bookmarkStart w:id="234" w:name="_Toc85192741"/>
      <w:bookmarkStart w:id="235" w:name="_Toc85193459"/>
      <w:bookmarkStart w:id="236" w:name="_Toc85197821"/>
      <w:bookmarkStart w:id="237" w:name="_Toc85215173"/>
      <w:bookmarkStart w:id="238" w:name="_Toc40122397"/>
      <w:bookmarkStart w:id="239" w:name="_Toc40636277"/>
      <w:bookmarkStart w:id="240" w:name="_Toc44928916"/>
      <w:bookmarkStart w:id="241" w:name="_Toc81901149"/>
      <w:bookmarkStart w:id="242" w:name="_Toc85461029"/>
      <w:bookmarkStart w:id="243" w:name="_Toc85466907"/>
      <w:bookmarkStart w:id="244" w:name="_Toc88737769"/>
      <w:bookmarkStart w:id="245" w:name="_Toc88749274"/>
      <w:bookmarkStart w:id="246" w:name="_Toc88751995"/>
      <w:bookmarkStart w:id="247" w:name="_Toc109933610"/>
      <w:bookmarkStart w:id="248" w:name="_Toc6673127"/>
      <w:bookmarkStart w:id="249" w:name="_Toc40122396"/>
      <w:bookmarkStart w:id="250" w:name="_Toc40636276"/>
      <w:bookmarkStart w:id="251" w:name="_Toc44928915"/>
      <w:r w:rsidRPr="00FB10F3">
        <w:rPr>
          <w:bCs w:val="0"/>
          <w:sz w:val="24"/>
          <w:lang w:val="ru-RU" w:eastAsia="ru-RU"/>
        </w:rPr>
        <w:t>Природно-климатические условия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766F82" w:rsidRPr="00FB10F3">
        <w:rPr>
          <w:bCs w:val="0"/>
          <w:sz w:val="24"/>
          <w:lang w:val="ru-RU" w:eastAsia="ru-RU"/>
        </w:rPr>
        <w:t xml:space="preserve"> </w:t>
      </w:r>
      <w:r w:rsidR="00766F82" w:rsidRPr="00F679A2">
        <w:rPr>
          <w:bCs w:val="0"/>
          <w:sz w:val="24"/>
          <w:lang w:val="ru-RU" w:eastAsia="ru-RU"/>
        </w:rPr>
        <w:t>[6]</w:t>
      </w:r>
      <w:bookmarkEnd w:id="245"/>
      <w:bookmarkEnd w:id="246"/>
      <w:bookmarkEnd w:id="247"/>
      <w:r w:rsidR="00BB1404" w:rsidRPr="00FB10F3">
        <w:rPr>
          <w:bCs w:val="0"/>
          <w:sz w:val="24"/>
          <w:lang w:val="ru-RU" w:eastAsia="ru-RU"/>
        </w:rPr>
        <w:t xml:space="preserve"> </w:t>
      </w:r>
    </w:p>
    <w:p w14:paraId="77748687" w14:textId="21365CCB" w:rsidR="00984993" w:rsidRPr="00984993" w:rsidRDefault="00984993" w:rsidP="00984993">
      <w:pPr>
        <w:pStyle w:val="a7"/>
        <w:rPr>
          <w:lang w:val="ru-RU" w:eastAsia="ru-RU"/>
        </w:rPr>
      </w:pPr>
      <w:r w:rsidRPr="00984993">
        <w:rPr>
          <w:lang w:val="ru-RU" w:eastAsia="ru-RU"/>
        </w:rPr>
        <w:t xml:space="preserve">Территория </w:t>
      </w:r>
      <w:r w:rsidR="00E65E11">
        <w:rPr>
          <w:lang w:val="ru-RU" w:eastAsia="ru-RU"/>
        </w:rPr>
        <w:t xml:space="preserve"> </w:t>
      </w:r>
      <w:r w:rsidR="003571FB">
        <w:rPr>
          <w:lang w:val="ru-RU" w:eastAsia="ru-RU"/>
        </w:rPr>
        <w:t>Царицынского</w:t>
      </w:r>
      <w:r w:rsidRPr="00984993">
        <w:rPr>
          <w:lang w:val="ru-RU" w:eastAsia="ru-RU"/>
        </w:rPr>
        <w:t xml:space="preserve"> </w:t>
      </w:r>
      <w:r w:rsidR="00E65E11">
        <w:rPr>
          <w:lang w:val="ru-RU" w:eastAsia="ru-RU"/>
        </w:rPr>
        <w:t xml:space="preserve">сельского </w:t>
      </w:r>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r w:rsidR="00F679A2">
        <w:rPr>
          <w:lang w:val="ru-RU" w:eastAsia="ru-RU"/>
        </w:rPr>
        <w:t xml:space="preserve"> </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5675CC8" w14:textId="234A0FC3"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3571FB">
        <w:rPr>
          <w:lang w:val="ru-RU" w:eastAsia="ru-RU"/>
        </w:rPr>
        <w:t>Царицынского</w:t>
      </w:r>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w:t>
      </w:r>
      <w:r w:rsidR="003571FB">
        <w:rPr>
          <w:lang w:val="ru-RU" w:eastAsia="ru-RU"/>
        </w:rPr>
        <w:t>580</w:t>
      </w:r>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8"/>
      <w:bookmarkEnd w:id="249"/>
      <w:bookmarkEnd w:id="250"/>
      <w:bookmarkEnd w:id="251"/>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w:t>
      </w:r>
      <w:r w:rsidR="00A36DA7" w:rsidRPr="00FB10F3">
        <w:lastRenderedPageBreak/>
        <w:t xml:space="preserve">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200"/>
      <w:bookmarkEnd w:id="201"/>
      <w:bookmarkEnd w:id="202"/>
      <w:bookmarkEnd w:id="203"/>
      <w:bookmarkEnd w:id="204"/>
      <w:bookmarkEnd w:id="205"/>
      <w:bookmarkEnd w:id="206"/>
      <w:bookmarkEnd w:id="207"/>
      <w:bookmarkEnd w:id="208"/>
      <w:bookmarkEnd w:id="209"/>
      <w:bookmarkEnd w:id="210"/>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 xml:space="preserve">для подготовки комиссией по подготовке проекта правил землепользования </w:t>
      </w:r>
      <w:r w:rsidRPr="00FB10F3">
        <w:lastRenderedPageBreak/>
        <w:t>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2819A" w14:textId="77777777" w:rsidR="00963508" w:rsidRDefault="00963508">
      <w:r>
        <w:separator/>
      </w:r>
    </w:p>
    <w:p w14:paraId="2D12B5A8" w14:textId="77777777" w:rsidR="00963508" w:rsidRDefault="00963508"/>
  </w:endnote>
  <w:endnote w:type="continuationSeparator" w:id="0">
    <w:p w14:paraId="58B28486" w14:textId="77777777" w:rsidR="00963508" w:rsidRDefault="00963508">
      <w:r>
        <w:continuationSeparator/>
      </w:r>
    </w:p>
    <w:p w14:paraId="5392E058" w14:textId="77777777" w:rsidR="00963508" w:rsidRDefault="00963508"/>
  </w:endnote>
  <w:endnote w:type="continuationNotice" w:id="1">
    <w:p w14:paraId="01A59979" w14:textId="77777777" w:rsidR="00963508" w:rsidRDefault="009635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0572B639"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677751">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6A465721"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677751">
      <w:rPr>
        <w:noProof/>
        <w:lang w:val="en-US"/>
      </w:rPr>
      <w:t>12</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F7A27" w14:textId="77777777" w:rsidR="00963508" w:rsidRDefault="00963508">
      <w:r>
        <w:separator/>
      </w:r>
    </w:p>
    <w:p w14:paraId="7E1DFBD6" w14:textId="77777777" w:rsidR="00963508" w:rsidRDefault="00963508"/>
  </w:footnote>
  <w:footnote w:type="continuationSeparator" w:id="0">
    <w:p w14:paraId="17DE1671" w14:textId="77777777" w:rsidR="00963508" w:rsidRDefault="00963508">
      <w:r>
        <w:continuationSeparator/>
      </w:r>
    </w:p>
    <w:p w14:paraId="3E0F9969" w14:textId="77777777" w:rsidR="00963508" w:rsidRDefault="00963508"/>
  </w:footnote>
  <w:footnote w:type="continuationNotice" w:id="1">
    <w:p w14:paraId="1534F643" w14:textId="77777777" w:rsidR="00963508" w:rsidRDefault="009635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17"/>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1FB"/>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51"/>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DBE"/>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508"/>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147"/>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781"/>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5"/>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9A2"/>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0B155E51-2BD8-49B9-98CA-9CFF4EED9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4231</Words>
  <Characters>24122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28297</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RePack by Diakov</cp:lastModifiedBy>
  <cp:revision>3</cp:revision>
  <cp:lastPrinted>2020-08-04T13:00:00Z</cp:lastPrinted>
  <dcterms:created xsi:type="dcterms:W3CDTF">2023-05-30T10:20:00Z</dcterms:created>
  <dcterms:modified xsi:type="dcterms:W3CDTF">2023-08-10T06:57:00Z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