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89"/>
      </w:tblGrid>
      <w:tr w:rsidR="00A42F27" w:rsidRPr="00A42F27" w:rsidTr="00A42F27">
        <w:tc>
          <w:tcPr>
            <w:tcW w:w="5068" w:type="dxa"/>
          </w:tcPr>
          <w:p w:rsidR="00A42F27" w:rsidRPr="00A42F27" w:rsidRDefault="00A42F27" w:rsidP="00A42F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A42F27" w:rsidRPr="00A42F27" w:rsidRDefault="00A42F27" w:rsidP="00A42F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2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2F27" w:rsidRDefault="00A42F27" w:rsidP="00A42F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27">
              <w:rPr>
                <w:rFonts w:ascii="Times New Roman" w:hAnsi="Times New Roman" w:cs="Times New Roman"/>
                <w:sz w:val="28"/>
                <w:szCs w:val="28"/>
              </w:rPr>
              <w:t>к постановлению Совета Калачинского муниципального района</w:t>
            </w:r>
          </w:p>
          <w:p w:rsidR="00A42F27" w:rsidRPr="00A42F27" w:rsidRDefault="00A42F27" w:rsidP="00A42F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F27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A42F27" w:rsidRPr="00A42F27" w:rsidRDefault="00A42F27" w:rsidP="006903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2F27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6903E0" w:rsidRPr="006903E0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 w:rsidR="006903E0">
              <w:rPr>
                <w:rFonts w:ascii="Times New Roman" w:hAnsi="Times New Roman" w:cs="Times New Roman"/>
                <w:sz w:val="28"/>
                <w:szCs w:val="28"/>
              </w:rPr>
              <w:t xml:space="preserve">мая </w:t>
            </w:r>
            <w:r w:rsidRPr="00A42F27">
              <w:rPr>
                <w:rFonts w:ascii="Times New Roman" w:hAnsi="Times New Roman" w:cs="Times New Roman"/>
                <w:sz w:val="28"/>
                <w:szCs w:val="28"/>
              </w:rPr>
              <w:t>2024 года №_</w:t>
            </w:r>
            <w:r w:rsidR="006903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42F2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A42F27" w:rsidRDefault="00A42F27" w:rsidP="00A42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F27" w:rsidRDefault="00A42F27" w:rsidP="00A42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F27" w:rsidRDefault="00A42F27" w:rsidP="00A42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2F9F" w:rsidRDefault="00805426" w:rsidP="004C6A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426">
        <w:rPr>
          <w:rFonts w:ascii="Times New Roman" w:hAnsi="Times New Roman" w:cs="Times New Roman"/>
          <w:b/>
          <w:sz w:val="28"/>
          <w:szCs w:val="28"/>
        </w:rPr>
        <w:t>Об итогах проведения независимой оценки качества условий оказания услуг организациями в сфере образования в 2023 году</w:t>
      </w:r>
    </w:p>
    <w:p w:rsidR="006A041A" w:rsidRDefault="006A041A" w:rsidP="00A42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041A" w:rsidRDefault="006A041A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утвержденным Перечнем на 2023 год </w:t>
      </w:r>
      <w:r w:rsidRPr="006903E0">
        <w:rPr>
          <w:rFonts w:ascii="Times New Roman" w:hAnsi="Times New Roman"/>
          <w:sz w:val="28"/>
          <w:szCs w:val="28"/>
        </w:rPr>
        <w:t>(протокол з</w:t>
      </w:r>
      <w:r w:rsidR="00EA4FD1" w:rsidRPr="006903E0">
        <w:rPr>
          <w:rFonts w:ascii="Times New Roman" w:hAnsi="Times New Roman"/>
          <w:sz w:val="28"/>
          <w:szCs w:val="28"/>
        </w:rPr>
        <w:t>аседания Общественного совета № 3 от 19</w:t>
      </w:r>
      <w:r w:rsidRPr="006903E0">
        <w:rPr>
          <w:rFonts w:ascii="Times New Roman" w:hAnsi="Times New Roman"/>
          <w:sz w:val="28"/>
          <w:szCs w:val="28"/>
        </w:rPr>
        <w:t xml:space="preserve"> </w:t>
      </w:r>
      <w:r w:rsidR="00EA4FD1" w:rsidRPr="006903E0">
        <w:rPr>
          <w:rFonts w:ascii="Times New Roman" w:hAnsi="Times New Roman"/>
          <w:sz w:val="28"/>
          <w:szCs w:val="28"/>
        </w:rPr>
        <w:t>сентября 20</w:t>
      </w:r>
      <w:r w:rsidR="00621866" w:rsidRPr="006903E0">
        <w:rPr>
          <w:rFonts w:ascii="Times New Roman" w:hAnsi="Times New Roman"/>
          <w:sz w:val="28"/>
          <w:szCs w:val="28"/>
        </w:rPr>
        <w:t>2</w:t>
      </w:r>
      <w:r w:rsidR="00EA4FD1" w:rsidRPr="006903E0">
        <w:rPr>
          <w:rFonts w:ascii="Times New Roman" w:hAnsi="Times New Roman"/>
          <w:sz w:val="28"/>
          <w:szCs w:val="28"/>
        </w:rPr>
        <w:t>3</w:t>
      </w:r>
      <w:r w:rsidRPr="006903E0">
        <w:rPr>
          <w:rFonts w:ascii="Times New Roman" w:hAnsi="Times New Roman"/>
          <w:sz w:val="28"/>
          <w:szCs w:val="28"/>
        </w:rPr>
        <w:t xml:space="preserve"> года) </w:t>
      </w:r>
      <w:r>
        <w:rPr>
          <w:rFonts w:ascii="Times New Roman" w:hAnsi="Times New Roman"/>
          <w:sz w:val="28"/>
          <w:szCs w:val="28"/>
        </w:rPr>
        <w:t>независимая оценка качества</w:t>
      </w:r>
      <w:r w:rsidR="00621866">
        <w:rPr>
          <w:rFonts w:ascii="Times New Roman" w:hAnsi="Times New Roman"/>
          <w:sz w:val="28"/>
          <w:szCs w:val="28"/>
        </w:rPr>
        <w:t xml:space="preserve"> условий оказания услуг организациями в сфере образования Калачинского муниципального района </w:t>
      </w:r>
      <w:r>
        <w:rPr>
          <w:rFonts w:ascii="Times New Roman" w:hAnsi="Times New Roman"/>
          <w:sz w:val="28"/>
          <w:szCs w:val="28"/>
        </w:rPr>
        <w:t>(далее</w:t>
      </w:r>
      <w:r w:rsidR="00EA4FD1">
        <w:rPr>
          <w:rFonts w:ascii="Times New Roman" w:hAnsi="Times New Roman"/>
          <w:sz w:val="28"/>
          <w:szCs w:val="28"/>
        </w:rPr>
        <w:t xml:space="preserve"> – независимая оценка или НОКО</w:t>
      </w:r>
      <w:r w:rsidR="00621866">
        <w:rPr>
          <w:rFonts w:ascii="Times New Roman" w:hAnsi="Times New Roman"/>
          <w:sz w:val="28"/>
          <w:szCs w:val="28"/>
        </w:rPr>
        <w:t xml:space="preserve">), проводилась </w:t>
      </w:r>
      <w:r>
        <w:rPr>
          <w:rFonts w:ascii="Times New Roman" w:hAnsi="Times New Roman"/>
          <w:sz w:val="28"/>
          <w:szCs w:val="28"/>
        </w:rPr>
        <w:t xml:space="preserve">в отношении </w:t>
      </w:r>
      <w:r w:rsidR="00EA4FD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организаций, в их числе:</w:t>
      </w:r>
    </w:p>
    <w:p w:rsidR="006A041A" w:rsidRDefault="006903E0" w:rsidP="006903E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EA4FD1" w:rsidRPr="00EA4FD1">
        <w:rPr>
          <w:rFonts w:ascii="Times New Roman" w:hAnsi="Times New Roman"/>
          <w:sz w:val="28"/>
          <w:szCs w:val="28"/>
        </w:rPr>
        <w:t>4 общеобразовательные</w:t>
      </w:r>
      <w:r w:rsidR="006A041A" w:rsidRPr="00EA4FD1">
        <w:rPr>
          <w:rFonts w:ascii="Times New Roman" w:hAnsi="Times New Roman"/>
          <w:sz w:val="28"/>
          <w:szCs w:val="28"/>
        </w:rPr>
        <w:t xml:space="preserve"> школ</w:t>
      </w:r>
      <w:r w:rsidR="00EA4FD1" w:rsidRPr="00EA4FD1">
        <w:rPr>
          <w:rFonts w:ascii="Times New Roman" w:hAnsi="Times New Roman"/>
          <w:sz w:val="28"/>
          <w:szCs w:val="28"/>
        </w:rPr>
        <w:t>ы (БОУ «Гимназия» им.</w:t>
      </w:r>
      <w:r w:rsidR="00A42F27">
        <w:rPr>
          <w:rFonts w:ascii="Times New Roman" w:hAnsi="Times New Roman"/>
          <w:sz w:val="28"/>
          <w:szCs w:val="28"/>
        </w:rPr>
        <w:t xml:space="preserve"> </w:t>
      </w:r>
      <w:r w:rsidR="00EA4FD1" w:rsidRPr="00EA4FD1">
        <w:rPr>
          <w:rFonts w:ascii="Times New Roman" w:hAnsi="Times New Roman"/>
          <w:sz w:val="28"/>
          <w:szCs w:val="28"/>
        </w:rPr>
        <w:t>А.Г.</w:t>
      </w:r>
      <w:r w:rsidR="00A42F27">
        <w:rPr>
          <w:rFonts w:ascii="Times New Roman" w:hAnsi="Times New Roman"/>
          <w:sz w:val="28"/>
          <w:szCs w:val="28"/>
        </w:rPr>
        <w:t xml:space="preserve"> </w:t>
      </w:r>
      <w:r w:rsidR="00EA4FD1" w:rsidRPr="00EA4FD1">
        <w:rPr>
          <w:rFonts w:ascii="Times New Roman" w:hAnsi="Times New Roman"/>
          <w:sz w:val="28"/>
          <w:szCs w:val="28"/>
        </w:rPr>
        <w:t>Артемьевой</w:t>
      </w:r>
      <w:r w:rsidR="006A041A" w:rsidRPr="00EA4FD1">
        <w:rPr>
          <w:rFonts w:ascii="Times New Roman" w:hAnsi="Times New Roman"/>
          <w:sz w:val="28"/>
          <w:szCs w:val="28"/>
        </w:rPr>
        <w:t>;</w:t>
      </w:r>
      <w:r w:rsidR="00EA4FD1" w:rsidRPr="00EA4FD1">
        <w:rPr>
          <w:rFonts w:ascii="Times New Roman" w:hAnsi="Times New Roman"/>
          <w:sz w:val="28"/>
          <w:szCs w:val="28"/>
        </w:rPr>
        <w:t xml:space="preserve"> БОУ «СОШ №2», БОУ «Лицей» им. К.Д.</w:t>
      </w:r>
      <w:r>
        <w:rPr>
          <w:rFonts w:ascii="Times New Roman" w:hAnsi="Times New Roman"/>
          <w:sz w:val="28"/>
          <w:szCs w:val="28"/>
        </w:rPr>
        <w:t xml:space="preserve"> </w:t>
      </w:r>
      <w:r w:rsidR="00EA4FD1" w:rsidRPr="00EA4FD1">
        <w:rPr>
          <w:rFonts w:ascii="Times New Roman" w:hAnsi="Times New Roman"/>
          <w:sz w:val="28"/>
          <w:szCs w:val="28"/>
        </w:rPr>
        <w:t>Ушинского; БОУ «СОШ №4»)</w:t>
      </w:r>
      <w:r w:rsidR="00EA4FD1">
        <w:rPr>
          <w:rFonts w:ascii="Times New Roman" w:hAnsi="Times New Roman"/>
          <w:sz w:val="28"/>
          <w:szCs w:val="28"/>
        </w:rPr>
        <w:t>;</w:t>
      </w:r>
    </w:p>
    <w:p w:rsidR="00EA4FD1" w:rsidRPr="00EA4FD1" w:rsidRDefault="006903E0" w:rsidP="006903E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EA4FD1">
        <w:rPr>
          <w:rFonts w:ascii="Times New Roman" w:hAnsi="Times New Roman"/>
          <w:sz w:val="28"/>
          <w:szCs w:val="28"/>
        </w:rPr>
        <w:t xml:space="preserve">3 </w:t>
      </w:r>
      <w:r w:rsidR="005776F9">
        <w:rPr>
          <w:rFonts w:ascii="Times New Roman" w:hAnsi="Times New Roman"/>
          <w:sz w:val="28"/>
          <w:szCs w:val="28"/>
        </w:rPr>
        <w:t xml:space="preserve">школы искусств </w:t>
      </w:r>
      <w:r w:rsidR="00EA4FD1">
        <w:rPr>
          <w:rFonts w:ascii="Times New Roman" w:hAnsi="Times New Roman"/>
          <w:sz w:val="28"/>
          <w:szCs w:val="28"/>
        </w:rPr>
        <w:t>(МБОУ ДО «Детская музыкальная школа им. П.Я.Ковалевского; МБУ ДО «Детская художественная школа</w:t>
      </w:r>
      <w:proofErr w:type="gramStart"/>
      <w:r w:rsidR="00EA4FD1">
        <w:rPr>
          <w:rFonts w:ascii="Times New Roman" w:hAnsi="Times New Roman"/>
          <w:sz w:val="28"/>
          <w:szCs w:val="28"/>
        </w:rPr>
        <w:t xml:space="preserve">»;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EA4FD1">
        <w:rPr>
          <w:rFonts w:ascii="Times New Roman" w:hAnsi="Times New Roman"/>
          <w:sz w:val="28"/>
          <w:szCs w:val="28"/>
        </w:rPr>
        <w:t>МБУ ДО «Репинская детская школа искусств»</w:t>
      </w:r>
      <w:r w:rsidR="005776F9">
        <w:rPr>
          <w:rFonts w:ascii="Times New Roman" w:hAnsi="Times New Roman"/>
          <w:sz w:val="28"/>
          <w:szCs w:val="28"/>
        </w:rPr>
        <w:t>)</w:t>
      </w:r>
      <w:r w:rsidR="00EA4FD1">
        <w:rPr>
          <w:rFonts w:ascii="Times New Roman" w:hAnsi="Times New Roman"/>
          <w:sz w:val="28"/>
          <w:szCs w:val="28"/>
        </w:rPr>
        <w:t>.</w:t>
      </w:r>
    </w:p>
    <w:p w:rsidR="00EA4FD1" w:rsidRDefault="00EA4FD1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Независимая оценка </w:t>
      </w:r>
      <w:r w:rsidR="001B7513">
        <w:rPr>
          <w:rFonts w:ascii="Times New Roman" w:hAnsi="Times New Roman"/>
          <w:sz w:val="28"/>
          <w:szCs w:val="28"/>
        </w:rPr>
        <w:t>направлена на получение сведений об образовательной деятельности организаций, предоставление участникам отношений в сфере образования соответствующей информации на основе общедоступной информации и улучшение информированности потребителей о качестве работы образовательных организаций.</w:t>
      </w:r>
    </w:p>
    <w:p w:rsidR="001B7513" w:rsidRDefault="001B7513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Организацией-оператором НОКО </w:t>
      </w:r>
      <w:r w:rsidR="00621866">
        <w:rPr>
          <w:rFonts w:ascii="Times New Roman" w:hAnsi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 xml:space="preserve">являлось Общество с ограниченной ответственностью «Исследовательский центр «НОВИ» (муниципальный контракт на оказание услуг № 1028 от 06 апреля 2023 года). </w:t>
      </w:r>
    </w:p>
    <w:p w:rsidR="006A041A" w:rsidRDefault="006A041A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осуществлялась по следующим критериям: </w:t>
      </w:r>
    </w:p>
    <w:p w:rsidR="005776F9" w:rsidRDefault="005776F9" w:rsidP="006903E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6F9">
        <w:rPr>
          <w:rFonts w:ascii="Times New Roman" w:hAnsi="Times New Roman"/>
          <w:sz w:val="28"/>
          <w:szCs w:val="28"/>
        </w:rPr>
        <w:t>открытость  и доступность информации об образовательных организациях;</w:t>
      </w:r>
    </w:p>
    <w:p w:rsidR="006A041A" w:rsidRDefault="006A041A" w:rsidP="006903E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6F9">
        <w:rPr>
          <w:rFonts w:ascii="Times New Roman" w:hAnsi="Times New Roman"/>
          <w:sz w:val="28"/>
          <w:szCs w:val="28"/>
        </w:rPr>
        <w:t>комфортность условий, в которых осуществляется образовательная деятельность;</w:t>
      </w:r>
    </w:p>
    <w:p w:rsidR="005776F9" w:rsidRDefault="005776F9" w:rsidP="006903E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6F9">
        <w:rPr>
          <w:rFonts w:ascii="Times New Roman" w:hAnsi="Times New Roman"/>
          <w:sz w:val="28"/>
          <w:szCs w:val="28"/>
        </w:rPr>
        <w:t>доступность образовательной деятельности для инвалидов;</w:t>
      </w:r>
    </w:p>
    <w:p w:rsidR="006A041A" w:rsidRDefault="006A041A" w:rsidP="006903E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6F9">
        <w:rPr>
          <w:rFonts w:ascii="Times New Roman" w:hAnsi="Times New Roman"/>
          <w:sz w:val="28"/>
          <w:szCs w:val="28"/>
        </w:rPr>
        <w:t>д</w:t>
      </w:r>
      <w:r w:rsidR="005776F9" w:rsidRPr="005776F9">
        <w:rPr>
          <w:rFonts w:ascii="Times New Roman" w:hAnsi="Times New Roman"/>
          <w:sz w:val="28"/>
          <w:szCs w:val="28"/>
        </w:rPr>
        <w:t xml:space="preserve">оброжелательность, вежливость </w:t>
      </w:r>
      <w:r w:rsidRPr="005776F9">
        <w:rPr>
          <w:rFonts w:ascii="Times New Roman" w:hAnsi="Times New Roman"/>
          <w:sz w:val="28"/>
          <w:szCs w:val="28"/>
        </w:rPr>
        <w:t>работников</w:t>
      </w:r>
      <w:r w:rsidR="005776F9" w:rsidRPr="005776F9">
        <w:rPr>
          <w:rFonts w:ascii="Times New Roman" w:hAnsi="Times New Roman"/>
          <w:sz w:val="28"/>
          <w:szCs w:val="28"/>
        </w:rPr>
        <w:t xml:space="preserve"> организации</w:t>
      </w:r>
      <w:r w:rsidRPr="005776F9">
        <w:rPr>
          <w:rFonts w:ascii="Times New Roman" w:hAnsi="Times New Roman"/>
          <w:sz w:val="28"/>
          <w:szCs w:val="28"/>
        </w:rPr>
        <w:t>;</w:t>
      </w:r>
    </w:p>
    <w:p w:rsidR="006A041A" w:rsidRPr="005776F9" w:rsidRDefault="006A041A" w:rsidP="006903E0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76F9">
        <w:rPr>
          <w:rFonts w:ascii="Times New Roman" w:hAnsi="Times New Roman"/>
          <w:sz w:val="28"/>
          <w:szCs w:val="28"/>
        </w:rPr>
        <w:t>удовлетворенность</w:t>
      </w:r>
      <w:r w:rsidR="005776F9" w:rsidRPr="005776F9">
        <w:rPr>
          <w:rFonts w:ascii="Times New Roman" w:hAnsi="Times New Roman"/>
          <w:sz w:val="28"/>
          <w:szCs w:val="28"/>
        </w:rPr>
        <w:t xml:space="preserve"> условиями осуществления образовательной деятельности</w:t>
      </w:r>
      <w:r w:rsidRPr="005776F9">
        <w:rPr>
          <w:rFonts w:ascii="Times New Roman" w:hAnsi="Times New Roman"/>
          <w:sz w:val="28"/>
          <w:szCs w:val="28"/>
        </w:rPr>
        <w:t>.</w:t>
      </w:r>
    </w:p>
    <w:p w:rsidR="00D13E0E" w:rsidRDefault="00D13E0E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и методами сбора информации о качестве условий оказания услуг явились:</w:t>
      </w:r>
    </w:p>
    <w:p w:rsidR="00D13E0E" w:rsidRDefault="00D13E0E" w:rsidP="006903E0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официальных сайтов организаций в информационно-коммуникационной сети «Интернет», информационных стендов и иных открытых информационных ресурсов организаций;</w:t>
      </w:r>
    </w:p>
    <w:p w:rsidR="00D13E0E" w:rsidRDefault="00D13E0E" w:rsidP="006903E0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нормативных правовых актов по вопросам деятельности </w:t>
      </w:r>
      <w:r>
        <w:rPr>
          <w:rFonts w:ascii="Times New Roman" w:hAnsi="Times New Roman"/>
          <w:sz w:val="28"/>
          <w:szCs w:val="28"/>
        </w:rPr>
        <w:lastRenderedPageBreak/>
        <w:t>организаций;</w:t>
      </w:r>
    </w:p>
    <w:p w:rsidR="00D13E0E" w:rsidRDefault="00D13E0E" w:rsidP="006903E0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 получателей услуг.</w:t>
      </w:r>
    </w:p>
    <w:p w:rsidR="00D13E0E" w:rsidRPr="00D13E0E" w:rsidRDefault="00D13E0E" w:rsidP="006903E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завершения этапа сбора информации были сформированы итоговые массивы данных, на основе которых осуществлены обработка, анализ и интерпретация полученных результатов, </w:t>
      </w:r>
      <w:r w:rsidR="00AF2AB7">
        <w:rPr>
          <w:rFonts w:ascii="Times New Roman" w:hAnsi="Times New Roman"/>
          <w:sz w:val="28"/>
          <w:szCs w:val="28"/>
        </w:rPr>
        <w:t xml:space="preserve">содержание которых </w:t>
      </w:r>
      <w:r w:rsidR="00C044FF">
        <w:rPr>
          <w:rFonts w:ascii="Times New Roman" w:hAnsi="Times New Roman"/>
          <w:sz w:val="28"/>
          <w:szCs w:val="28"/>
        </w:rPr>
        <w:t>описано организацией-оператором в разделах информационно-аналитического отчёта.</w:t>
      </w:r>
    </w:p>
    <w:p w:rsidR="00E70AAD" w:rsidRDefault="00C044FF" w:rsidP="006903E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hAnsi="Times New Roman" w:cs="Times New Roman"/>
          <w:sz w:val="28"/>
          <w:szCs w:val="28"/>
        </w:rPr>
        <w:t xml:space="preserve">Результаты проведенной независимой оценки качества условий осуществления образовательной деятельности организациями, осуществляющими образовательную деятельность на территории Калачинского муниципального района Омской области, за 2023 год являются </w:t>
      </w:r>
      <w:r w:rsidR="0027045A">
        <w:rPr>
          <w:rFonts w:ascii="Times New Roman" w:hAnsi="Times New Roman" w:cs="Times New Roman"/>
          <w:sz w:val="28"/>
          <w:szCs w:val="28"/>
        </w:rPr>
        <w:t xml:space="preserve">достаточно </w:t>
      </w:r>
      <w:proofErr w:type="gramStart"/>
      <w:r w:rsidRPr="00C044FF">
        <w:rPr>
          <w:rFonts w:ascii="Times New Roman" w:hAnsi="Times New Roman" w:cs="Times New Roman"/>
          <w:sz w:val="28"/>
          <w:szCs w:val="28"/>
        </w:rPr>
        <w:t xml:space="preserve">высокими,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044FF">
        <w:rPr>
          <w:rFonts w:ascii="Times New Roman" w:hAnsi="Times New Roman" w:cs="Times New Roman"/>
          <w:sz w:val="28"/>
          <w:szCs w:val="28"/>
        </w:rPr>
        <w:t xml:space="preserve">не выявлено особо острых проблем, за исключением отдельных показателей </w:t>
      </w:r>
      <w:r w:rsidR="00E70A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044FF">
        <w:rPr>
          <w:rFonts w:ascii="Times New Roman" w:hAnsi="Times New Roman" w:cs="Times New Roman"/>
          <w:sz w:val="28"/>
          <w:szCs w:val="28"/>
        </w:rPr>
        <w:t xml:space="preserve">по критерию 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3 «Доступность образовательной деятельности для инвалидов». </w:t>
      </w:r>
    </w:p>
    <w:p w:rsidR="00C044FF" w:rsidRPr="00C044FF" w:rsidRDefault="00C044FF" w:rsidP="006903E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независимой оценки образовательные организации получили от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84,</w:t>
      </w:r>
      <w:r w:rsidR="00E70A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 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93,56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70A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Наименьшее количество баллов </w:t>
      </w:r>
      <w:r w:rsidR="00E70AAD">
        <w:rPr>
          <w:rFonts w:ascii="Times New Roman" w:hAnsi="Times New Roman"/>
          <w:sz w:val="28"/>
          <w:szCs w:val="28"/>
        </w:rPr>
        <w:t>– БОУ «Лицей» им.</w:t>
      </w:r>
      <w:r w:rsidR="00A51024">
        <w:rPr>
          <w:rFonts w:ascii="Times New Roman" w:hAnsi="Times New Roman"/>
          <w:sz w:val="28"/>
          <w:szCs w:val="28"/>
        </w:rPr>
        <w:t xml:space="preserve"> </w:t>
      </w:r>
      <w:r w:rsidR="00E70AAD">
        <w:rPr>
          <w:rFonts w:ascii="Times New Roman" w:hAnsi="Times New Roman"/>
          <w:sz w:val="28"/>
          <w:szCs w:val="28"/>
        </w:rPr>
        <w:t>К.Д.</w:t>
      </w:r>
      <w:r w:rsidR="00A51024">
        <w:rPr>
          <w:rFonts w:ascii="Times New Roman" w:hAnsi="Times New Roman"/>
          <w:sz w:val="28"/>
          <w:szCs w:val="28"/>
        </w:rPr>
        <w:t xml:space="preserve"> </w:t>
      </w:r>
      <w:r w:rsidR="00E70AAD">
        <w:rPr>
          <w:rFonts w:ascii="Times New Roman" w:hAnsi="Times New Roman"/>
          <w:sz w:val="28"/>
          <w:szCs w:val="28"/>
        </w:rPr>
        <w:t>Ушинского, лидер рейтинга – БОУ «СОШ №4» г.Калачинска.</w:t>
      </w:r>
    </w:p>
    <w:p w:rsidR="00C044FF" w:rsidRPr="00C044FF" w:rsidRDefault="00C044FF" w:rsidP="006903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Средний балл по образовательным организациям Калачинского муниципального района составил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88,64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 из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100 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возможных, в том числе:</w:t>
      </w:r>
    </w:p>
    <w:p w:rsidR="00C044FF" w:rsidRDefault="00C044FF" w:rsidP="006903E0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критерию № 1 «Открытость и доступность информации об организации культуры» –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93,66;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44FF" w:rsidRDefault="00C044FF" w:rsidP="006903E0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критерию № 2 «Комфортность условий, в которых осуществляется образовательная деятельность» –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95,79 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баллов;</w:t>
      </w:r>
    </w:p>
    <w:p w:rsidR="00C044FF" w:rsidRDefault="00C044FF" w:rsidP="006903E0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критерию № 3 «Доступность образовательной деятельности для инвалидов» –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61,47 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балла;</w:t>
      </w:r>
    </w:p>
    <w:p w:rsidR="00C044FF" w:rsidRDefault="00C044FF" w:rsidP="006903E0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критерию № 4 «Доброжелательность, вежливость работников организации» –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96,26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балла;</w:t>
      </w:r>
    </w:p>
    <w:p w:rsidR="00C044FF" w:rsidRPr="0027045A" w:rsidRDefault="00C044FF" w:rsidP="006903E0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критерию № 5 «Удовлетворенность условиями осуществления образовательной деятельности» – </w:t>
      </w:r>
      <w:r w:rsidRPr="00C044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96,03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балла.</w:t>
      </w:r>
    </w:p>
    <w:p w:rsidR="00E9420F" w:rsidRDefault="00E9420F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числе </w:t>
      </w:r>
      <w:r w:rsidRPr="00A51024">
        <w:rPr>
          <w:rFonts w:ascii="Times New Roman" w:hAnsi="Times New Roman"/>
          <w:sz w:val="28"/>
          <w:szCs w:val="28"/>
        </w:rPr>
        <w:t>положительных результатов</w:t>
      </w:r>
      <w:r>
        <w:rPr>
          <w:rFonts w:ascii="Times New Roman" w:hAnsi="Times New Roman"/>
          <w:sz w:val="28"/>
          <w:szCs w:val="28"/>
        </w:rPr>
        <w:t xml:space="preserve">  (в разрезе </w:t>
      </w:r>
      <w:r w:rsidR="0051484B">
        <w:rPr>
          <w:rFonts w:ascii="Times New Roman" w:hAnsi="Times New Roman"/>
          <w:sz w:val="28"/>
          <w:szCs w:val="28"/>
        </w:rPr>
        <w:t xml:space="preserve">отдельных </w:t>
      </w:r>
      <w:r>
        <w:rPr>
          <w:rFonts w:ascii="Times New Roman" w:hAnsi="Times New Roman"/>
          <w:sz w:val="28"/>
          <w:szCs w:val="28"/>
        </w:rPr>
        <w:t xml:space="preserve">показателей)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044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критерию № 1 </w:t>
      </w:r>
      <w:r w:rsidRPr="00A51024">
        <w:rPr>
          <w:rFonts w:ascii="Times New Roman" w:eastAsia="Times New Roman" w:hAnsi="Times New Roman" w:cs="Times New Roman"/>
          <w:color w:val="000000"/>
          <w:sz w:val="28"/>
          <w:szCs w:val="28"/>
        </w:rPr>
        <w:t>«Открытость и доступность информации об образовательных организациях»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следующее: </w:t>
      </w:r>
      <w:r w:rsidR="005148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соответствие размещённой информации установленным требованиям законодательства; </w:t>
      </w:r>
      <w:r w:rsidR="00E665FF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высокая степень открытости и доступности информации об образовательных организациях, размещённой на официальных сайтах  в сети «Интернет» и информационных стендах</w:t>
      </w:r>
      <w:r w:rsidR="005148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помещениях организаций;  наличие информации о дистанционных способах взаимодействия с получателями услуг (абонентские номера телефонов, адреса электронной почты, электронные сервисы для  подачи</w:t>
      </w:r>
      <w:r w:rsidR="005537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обращений, получения консультаций и т.д.)</w:t>
      </w:r>
      <w:r w:rsidR="005903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378C" w:rsidRDefault="00A51024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Высокие </w:t>
      </w:r>
      <w:r w:rsidR="0055378C">
        <w:rPr>
          <w:rFonts w:ascii="Times New Roman" w:hAnsi="Times New Roman"/>
          <w:sz w:val="28"/>
          <w:szCs w:val="28"/>
        </w:rPr>
        <w:t xml:space="preserve">результаты достигнуты по критерию </w:t>
      </w:r>
      <w:r w:rsidR="0055378C" w:rsidRPr="00A51024">
        <w:rPr>
          <w:rFonts w:ascii="Times New Roman" w:hAnsi="Times New Roman"/>
          <w:sz w:val="28"/>
          <w:szCs w:val="28"/>
        </w:rPr>
        <w:t>«Комфортность условий предоставления услуг»</w:t>
      </w:r>
      <w:r w:rsidR="0055378C">
        <w:rPr>
          <w:rFonts w:ascii="Times New Roman" w:hAnsi="Times New Roman"/>
          <w:i/>
          <w:sz w:val="28"/>
          <w:szCs w:val="28"/>
        </w:rPr>
        <w:t xml:space="preserve">: </w:t>
      </w:r>
      <w:r w:rsidR="0055378C">
        <w:rPr>
          <w:rFonts w:ascii="Times New Roman" w:hAnsi="Times New Roman"/>
          <w:sz w:val="28"/>
          <w:szCs w:val="28"/>
        </w:rPr>
        <w:t xml:space="preserve">6 из 7 образовательных организаций достигли значений </w:t>
      </w:r>
      <w:r w:rsidR="00590375">
        <w:rPr>
          <w:rFonts w:ascii="Times New Roman" w:hAnsi="Times New Roman"/>
          <w:sz w:val="28"/>
          <w:szCs w:val="28"/>
        </w:rPr>
        <w:t xml:space="preserve">            </w:t>
      </w:r>
      <w:r w:rsidR="0055378C">
        <w:rPr>
          <w:rFonts w:ascii="Times New Roman" w:hAnsi="Times New Roman"/>
          <w:sz w:val="28"/>
          <w:szCs w:val="28"/>
        </w:rPr>
        <w:t xml:space="preserve">в диапазоне от </w:t>
      </w:r>
      <w:r w:rsidR="0055378C" w:rsidRPr="0055378C">
        <w:rPr>
          <w:rFonts w:ascii="Times New Roman" w:hAnsi="Times New Roman"/>
          <w:b/>
          <w:sz w:val="28"/>
          <w:szCs w:val="28"/>
        </w:rPr>
        <w:t>95,5</w:t>
      </w:r>
      <w:r w:rsidR="0055378C">
        <w:rPr>
          <w:rFonts w:ascii="Times New Roman" w:hAnsi="Times New Roman"/>
          <w:sz w:val="28"/>
          <w:szCs w:val="28"/>
        </w:rPr>
        <w:t xml:space="preserve"> до </w:t>
      </w:r>
      <w:r w:rsidR="0055378C" w:rsidRPr="0055378C">
        <w:rPr>
          <w:rFonts w:ascii="Times New Roman" w:hAnsi="Times New Roman"/>
          <w:b/>
          <w:sz w:val="28"/>
          <w:szCs w:val="28"/>
        </w:rPr>
        <w:t>99</w:t>
      </w:r>
      <w:r w:rsidR="0055378C">
        <w:rPr>
          <w:rFonts w:ascii="Times New Roman" w:hAnsi="Times New Roman"/>
          <w:sz w:val="28"/>
          <w:szCs w:val="28"/>
        </w:rPr>
        <w:t xml:space="preserve"> баллов.</w:t>
      </w:r>
    </w:p>
    <w:p w:rsidR="0055378C" w:rsidRPr="00590375" w:rsidRDefault="004F20B1" w:rsidP="006903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критерию </w:t>
      </w:r>
      <w:r w:rsidRPr="00A51024">
        <w:rPr>
          <w:rFonts w:ascii="Times New Roman" w:hAnsi="Times New Roman"/>
          <w:sz w:val="28"/>
          <w:szCs w:val="28"/>
        </w:rPr>
        <w:t xml:space="preserve">«Доброжелательность, вежливость работников </w:t>
      </w:r>
      <w:proofErr w:type="gramStart"/>
      <w:r w:rsidRPr="00A51024">
        <w:rPr>
          <w:rFonts w:ascii="Times New Roman" w:hAnsi="Times New Roman"/>
          <w:sz w:val="28"/>
          <w:szCs w:val="28"/>
        </w:rPr>
        <w:t>организации»</w:t>
      </w:r>
      <w:r w:rsidRPr="004F20B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рейтинговая</w:t>
      </w:r>
      <w:proofErr w:type="gramEnd"/>
      <w:r>
        <w:rPr>
          <w:rFonts w:ascii="Times New Roman" w:hAnsi="Times New Roman"/>
          <w:sz w:val="28"/>
          <w:szCs w:val="28"/>
        </w:rPr>
        <w:t xml:space="preserve"> оценка составила </w:t>
      </w:r>
      <w:r w:rsidRPr="00590375">
        <w:rPr>
          <w:rFonts w:ascii="Times New Roman" w:hAnsi="Times New Roman"/>
          <w:sz w:val="28"/>
          <w:szCs w:val="28"/>
        </w:rPr>
        <w:t xml:space="preserve">от </w:t>
      </w:r>
      <w:r w:rsidRPr="00590375">
        <w:rPr>
          <w:rFonts w:ascii="Times New Roman" w:hAnsi="Times New Roman"/>
          <w:b/>
          <w:sz w:val="28"/>
          <w:szCs w:val="28"/>
        </w:rPr>
        <w:t>94,2</w:t>
      </w:r>
      <w:r w:rsidRPr="00590375">
        <w:rPr>
          <w:rFonts w:ascii="Times New Roman" w:hAnsi="Times New Roman"/>
          <w:sz w:val="28"/>
          <w:szCs w:val="28"/>
        </w:rPr>
        <w:t xml:space="preserve"> до </w:t>
      </w:r>
      <w:r w:rsidRPr="00590375">
        <w:rPr>
          <w:rFonts w:ascii="Times New Roman" w:hAnsi="Times New Roman"/>
          <w:b/>
          <w:sz w:val="28"/>
          <w:szCs w:val="28"/>
        </w:rPr>
        <w:t>98 б</w:t>
      </w:r>
      <w:r w:rsidRPr="00590375">
        <w:rPr>
          <w:rFonts w:ascii="Times New Roman" w:hAnsi="Times New Roman"/>
          <w:sz w:val="28"/>
          <w:szCs w:val="28"/>
        </w:rPr>
        <w:t>аллов.</w:t>
      </w:r>
    </w:p>
    <w:p w:rsidR="0055378C" w:rsidRPr="00C044FF" w:rsidRDefault="0055378C" w:rsidP="006903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4FF">
        <w:rPr>
          <w:rFonts w:ascii="Times New Roman" w:hAnsi="Times New Roman" w:cs="Times New Roman"/>
          <w:sz w:val="28"/>
          <w:szCs w:val="28"/>
        </w:rPr>
        <w:t xml:space="preserve">Получатели услуг в организациях в целом </w:t>
      </w:r>
      <w:r w:rsidRPr="00A51024">
        <w:rPr>
          <w:rFonts w:ascii="Times New Roman" w:hAnsi="Times New Roman" w:cs="Times New Roman"/>
          <w:sz w:val="28"/>
          <w:szCs w:val="28"/>
        </w:rPr>
        <w:t>удовлетворены качеством оказания услуг</w:t>
      </w:r>
      <w:r w:rsidRPr="004F20B1">
        <w:rPr>
          <w:rFonts w:ascii="Times New Roman" w:hAnsi="Times New Roman" w:cs="Times New Roman"/>
          <w:i/>
          <w:sz w:val="28"/>
          <w:szCs w:val="28"/>
        </w:rPr>
        <w:t>.</w:t>
      </w:r>
      <w:r w:rsidR="00A42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респондентов из числа получателей услуг, принявших участие в сборе и обобщении информации,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70AAD">
        <w:rPr>
          <w:rFonts w:ascii="Times New Roman" w:hAnsi="Times New Roman"/>
          <w:b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человек (</w:t>
      </w:r>
      <w:r w:rsidRPr="00E70AAD">
        <w:rPr>
          <w:rFonts w:ascii="Times New Roman" w:hAnsi="Times New Roman"/>
          <w:b/>
          <w:sz w:val="28"/>
          <w:szCs w:val="28"/>
        </w:rPr>
        <w:t>56%</w:t>
      </w:r>
      <w:r>
        <w:rPr>
          <w:rFonts w:ascii="Times New Roman" w:hAnsi="Times New Roman"/>
          <w:sz w:val="28"/>
          <w:szCs w:val="28"/>
        </w:rPr>
        <w:t xml:space="preserve"> от общего </w:t>
      </w:r>
      <w:r>
        <w:rPr>
          <w:rFonts w:ascii="Times New Roman" w:hAnsi="Times New Roman"/>
          <w:sz w:val="28"/>
          <w:szCs w:val="28"/>
        </w:rPr>
        <w:lastRenderedPageBreak/>
        <w:t>количества получателей услуг).</w:t>
      </w:r>
      <w:r w:rsidR="00590375">
        <w:rPr>
          <w:rFonts w:ascii="Times New Roman" w:hAnsi="Times New Roman"/>
          <w:sz w:val="28"/>
          <w:szCs w:val="28"/>
        </w:rPr>
        <w:t xml:space="preserve"> Диапазон уровня удовлетворённости</w:t>
      </w:r>
      <w:r w:rsidR="00544D9D">
        <w:rPr>
          <w:rFonts w:ascii="Times New Roman" w:hAnsi="Times New Roman"/>
          <w:sz w:val="28"/>
          <w:szCs w:val="28"/>
        </w:rPr>
        <w:t xml:space="preserve"> в разрезе образовательных организаций</w:t>
      </w:r>
      <w:r w:rsidR="00590375">
        <w:rPr>
          <w:rFonts w:ascii="Times New Roman" w:hAnsi="Times New Roman"/>
          <w:sz w:val="28"/>
          <w:szCs w:val="28"/>
        </w:rPr>
        <w:t xml:space="preserve">: </w:t>
      </w:r>
      <w:r w:rsidR="00590375" w:rsidRPr="00590375">
        <w:rPr>
          <w:rFonts w:ascii="Times New Roman" w:hAnsi="Times New Roman"/>
          <w:b/>
          <w:sz w:val="28"/>
          <w:szCs w:val="28"/>
        </w:rPr>
        <w:t>91,8 – 99</w:t>
      </w:r>
      <w:r w:rsidR="00590375">
        <w:rPr>
          <w:rFonts w:ascii="Times New Roman" w:hAnsi="Times New Roman"/>
          <w:sz w:val="28"/>
          <w:szCs w:val="28"/>
        </w:rPr>
        <w:t xml:space="preserve"> баллов.</w:t>
      </w:r>
    </w:p>
    <w:p w:rsidR="00621866" w:rsidRDefault="00431ADD" w:rsidP="006903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3E0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="0027045A" w:rsidRPr="006903E0">
        <w:rPr>
          <w:rFonts w:ascii="Times New Roman" w:eastAsia="Times New Roman" w:hAnsi="Times New Roman" w:cs="Times New Roman"/>
          <w:sz w:val="28"/>
          <w:szCs w:val="28"/>
        </w:rPr>
        <w:t xml:space="preserve"> дефицит</w:t>
      </w:r>
      <w:r w:rsidRPr="006903E0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045A" w:rsidRPr="00621866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НОКО выявлены </w:t>
      </w:r>
      <w:r w:rsidR="00590375">
        <w:rPr>
          <w:rFonts w:ascii="Times New Roman" w:eastAsia="Times New Roman" w:hAnsi="Times New Roman" w:cs="Times New Roman"/>
          <w:sz w:val="28"/>
          <w:szCs w:val="28"/>
        </w:rPr>
        <w:t xml:space="preserve">во всех образовательных организациях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критерию </w:t>
      </w:r>
      <w:r w:rsidRPr="006903E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903E0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Доступность образовательной деятельности для инвалидов»</w:t>
      </w:r>
      <w:r w:rsidRPr="006903E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ним </w:t>
      </w:r>
      <w:r w:rsidR="0027045A" w:rsidRPr="00621866">
        <w:rPr>
          <w:rFonts w:ascii="Times New Roman" w:eastAsia="Times New Roman" w:hAnsi="Times New Roman" w:cs="Times New Roman"/>
          <w:sz w:val="28"/>
          <w:szCs w:val="28"/>
        </w:rPr>
        <w:t xml:space="preserve">следует, прежде всего, отнести </w:t>
      </w:r>
      <w:r w:rsidR="0027045A" w:rsidRPr="006218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недостаточность необходимых </w:t>
      </w:r>
      <w:r w:rsidR="0027045A" w:rsidRPr="00621866">
        <w:rPr>
          <w:rFonts w:ascii="Times New Roman" w:hAnsi="Times New Roman" w:cs="Times New Roman"/>
          <w:sz w:val="28"/>
          <w:szCs w:val="28"/>
        </w:rPr>
        <w:t>условий доступности, позволяющих инвалидам полу</w:t>
      </w:r>
      <w:r w:rsidR="00621866">
        <w:rPr>
          <w:rFonts w:ascii="Times New Roman" w:hAnsi="Times New Roman" w:cs="Times New Roman"/>
          <w:sz w:val="28"/>
          <w:szCs w:val="28"/>
        </w:rPr>
        <w:t xml:space="preserve">чать услуги наравне с другими, </w:t>
      </w:r>
      <w:r w:rsidR="0027045A" w:rsidRPr="00621866">
        <w:rPr>
          <w:rFonts w:ascii="Times New Roman" w:hAnsi="Times New Roman" w:cs="Times New Roman"/>
          <w:sz w:val="28"/>
          <w:szCs w:val="28"/>
        </w:rPr>
        <w:t xml:space="preserve">в частности: </w:t>
      </w:r>
    </w:p>
    <w:p w:rsidR="00621866" w:rsidRDefault="00621866" w:rsidP="006903E0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66">
        <w:rPr>
          <w:rFonts w:ascii="Times New Roman" w:hAnsi="Times New Roman" w:cs="Times New Roman"/>
          <w:sz w:val="28"/>
          <w:szCs w:val="28"/>
        </w:rPr>
        <w:t>выделенные стоянки для автотранспортных средств инвалидов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866" w:rsidRDefault="00621866" w:rsidP="006903E0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66">
        <w:rPr>
          <w:rFonts w:ascii="Times New Roman" w:hAnsi="Times New Roman" w:cs="Times New Roman"/>
          <w:sz w:val="28"/>
          <w:szCs w:val="28"/>
        </w:rPr>
        <w:t>адаптированные лифты, поручни, расширенные дверные проемы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866" w:rsidRDefault="00621866" w:rsidP="006903E0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66">
        <w:rPr>
          <w:rFonts w:ascii="Times New Roman" w:hAnsi="Times New Roman" w:cs="Times New Roman"/>
          <w:sz w:val="28"/>
          <w:szCs w:val="28"/>
        </w:rPr>
        <w:t>сменные кресла-коляски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866" w:rsidRDefault="00621866" w:rsidP="006903E0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66">
        <w:rPr>
          <w:rFonts w:ascii="Times New Roman" w:hAnsi="Times New Roman" w:cs="Times New Roman"/>
          <w:sz w:val="28"/>
          <w:szCs w:val="28"/>
        </w:rPr>
        <w:t>специально оборудованные санитарно-гигиенические помещения 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866" w:rsidRDefault="0027045A" w:rsidP="006903E0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66">
        <w:rPr>
          <w:rFonts w:ascii="Times New Roman" w:hAnsi="Times New Roman" w:cs="Times New Roman"/>
          <w:sz w:val="28"/>
          <w:szCs w:val="28"/>
        </w:rPr>
        <w:t xml:space="preserve">дублирование надписей, знаков и иной текстовой и графической информации знаками, выполненными рельефно-точечным шрифтом Брайля; </w:t>
      </w:r>
    </w:p>
    <w:p w:rsidR="00621866" w:rsidRDefault="0027045A" w:rsidP="006903E0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66">
        <w:rPr>
          <w:rFonts w:ascii="Times New Roman" w:hAnsi="Times New Roman" w:cs="Times New Roman"/>
          <w:sz w:val="28"/>
          <w:szCs w:val="28"/>
        </w:rPr>
        <w:t xml:space="preserve">возможность предоставления инвалидам по слуху (слуху и зрению) услуг сурдопереводчика (тифлосурдопереводчика);  </w:t>
      </w:r>
    </w:p>
    <w:p w:rsidR="0027045A" w:rsidRPr="00A42F27" w:rsidRDefault="0027045A" w:rsidP="006903E0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866">
        <w:rPr>
          <w:rFonts w:ascii="Times New Roman" w:hAnsi="Times New Roman" w:cs="Times New Roman"/>
          <w:sz w:val="28"/>
          <w:szCs w:val="28"/>
        </w:rPr>
        <w:t>помощь, оказываемая работниками образовательной организации, прошедшими необходимое обучение (инструктирование) по сопровождению инвалидов в помещениях образовательной организации и на прилегающей территории и др.</w:t>
      </w:r>
      <w:r w:rsidR="00621866" w:rsidRPr="00621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45A" w:rsidRPr="0027045A" w:rsidRDefault="009C24AF" w:rsidP="006903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045A" w:rsidRPr="0027045A">
        <w:rPr>
          <w:rFonts w:ascii="Times New Roman" w:hAnsi="Times New Roman" w:cs="Times New Roman"/>
          <w:sz w:val="28"/>
          <w:szCs w:val="28"/>
        </w:rPr>
        <w:t xml:space="preserve">олучателями услуг </w:t>
      </w:r>
      <w:r>
        <w:rPr>
          <w:rFonts w:ascii="Times New Roman" w:hAnsi="Times New Roman" w:cs="Times New Roman"/>
          <w:sz w:val="28"/>
          <w:szCs w:val="28"/>
        </w:rPr>
        <w:t xml:space="preserve">также были </w:t>
      </w:r>
      <w:r w:rsidR="0027045A" w:rsidRPr="0027045A">
        <w:rPr>
          <w:rFonts w:ascii="Times New Roman" w:hAnsi="Times New Roman" w:cs="Times New Roman"/>
          <w:sz w:val="28"/>
          <w:szCs w:val="28"/>
        </w:rPr>
        <w:t>высказаны пожелания об усилении мер безопасности в учреждениях, оборудовании комфортных зон ожидания.</w:t>
      </w:r>
    </w:p>
    <w:p w:rsidR="00FC5BB8" w:rsidRPr="006903E0" w:rsidRDefault="00FC5BB8" w:rsidP="006903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BB8">
        <w:rPr>
          <w:rFonts w:ascii="Times New Roman" w:hAnsi="Times New Roman" w:cs="Times New Roman"/>
          <w:sz w:val="28"/>
          <w:szCs w:val="28"/>
        </w:rPr>
        <w:t>Результаты независимой оценки рассмотрены на заседании Общественного Совета в сфере образования Калачинского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3E0">
        <w:rPr>
          <w:rFonts w:ascii="Times New Roman" w:hAnsi="Times New Roman" w:cs="Times New Roman"/>
          <w:sz w:val="28"/>
          <w:szCs w:val="28"/>
        </w:rPr>
        <w:t>(протокол №3 от 19.09.2023 года</w:t>
      </w:r>
      <w:r w:rsidR="00B92EE0" w:rsidRPr="006903E0">
        <w:rPr>
          <w:rFonts w:ascii="Times New Roman" w:hAnsi="Times New Roman" w:cs="Times New Roman"/>
          <w:sz w:val="28"/>
          <w:szCs w:val="28"/>
        </w:rPr>
        <w:t>)</w:t>
      </w:r>
      <w:r w:rsidRPr="006903E0">
        <w:rPr>
          <w:rFonts w:ascii="Times New Roman" w:hAnsi="Times New Roman" w:cs="Times New Roman"/>
          <w:sz w:val="28"/>
          <w:szCs w:val="28"/>
        </w:rPr>
        <w:t>.</w:t>
      </w:r>
    </w:p>
    <w:p w:rsidR="00F507F0" w:rsidRDefault="00F507F0" w:rsidP="006903E0">
      <w:pPr>
        <w:pStyle w:val="a6"/>
        <w:spacing w:line="240" w:lineRule="auto"/>
        <w:ind w:firstLine="709"/>
        <w:rPr>
          <w:sz w:val="28"/>
          <w:szCs w:val="28"/>
        </w:rPr>
      </w:pPr>
      <w:r w:rsidRPr="00FC5BB8">
        <w:rPr>
          <w:sz w:val="28"/>
          <w:szCs w:val="28"/>
        </w:rPr>
        <w:t xml:space="preserve">Решением Общественного совета утверждены рекомендации и предложения   образовательным организациям по улучшению качества работы.  На основе этого все </w:t>
      </w:r>
      <w:r w:rsidR="00E238AA">
        <w:rPr>
          <w:sz w:val="28"/>
          <w:szCs w:val="28"/>
        </w:rPr>
        <w:t xml:space="preserve">образовательные </w:t>
      </w:r>
      <w:r w:rsidRPr="00FC5BB8">
        <w:rPr>
          <w:sz w:val="28"/>
          <w:szCs w:val="28"/>
        </w:rPr>
        <w:t>организации разработали</w:t>
      </w:r>
      <w:r w:rsidR="00FC5BB8">
        <w:rPr>
          <w:sz w:val="28"/>
          <w:szCs w:val="28"/>
        </w:rPr>
        <w:t xml:space="preserve"> соответствующие планы </w:t>
      </w:r>
      <w:r w:rsidR="00E238AA">
        <w:rPr>
          <w:sz w:val="28"/>
          <w:szCs w:val="28"/>
        </w:rPr>
        <w:t xml:space="preserve">                       </w:t>
      </w:r>
      <w:r w:rsidR="00FC5BB8">
        <w:rPr>
          <w:sz w:val="28"/>
          <w:szCs w:val="28"/>
        </w:rPr>
        <w:t>по устранению недостатков, выявленных в ходе независимой оценки.</w:t>
      </w:r>
      <w:r w:rsidR="00E238AA">
        <w:rPr>
          <w:sz w:val="28"/>
          <w:szCs w:val="28"/>
        </w:rPr>
        <w:t xml:space="preserve"> Планы утверждены постановлением Главы Калачинского муниципального района </w:t>
      </w:r>
      <w:r w:rsidR="006903E0">
        <w:rPr>
          <w:sz w:val="28"/>
          <w:szCs w:val="28"/>
        </w:rPr>
        <w:t xml:space="preserve">                </w:t>
      </w:r>
      <w:r w:rsidR="00E238AA">
        <w:rPr>
          <w:sz w:val="28"/>
          <w:szCs w:val="28"/>
        </w:rPr>
        <w:t>Ф.А.</w:t>
      </w:r>
      <w:r w:rsidR="006903E0">
        <w:rPr>
          <w:sz w:val="28"/>
          <w:szCs w:val="28"/>
        </w:rPr>
        <w:t xml:space="preserve"> </w:t>
      </w:r>
      <w:proofErr w:type="spellStart"/>
      <w:r w:rsidR="006903E0">
        <w:rPr>
          <w:sz w:val="28"/>
          <w:szCs w:val="28"/>
        </w:rPr>
        <w:t>Мецлером</w:t>
      </w:r>
      <w:proofErr w:type="spellEnd"/>
      <w:r w:rsidR="006903E0">
        <w:rPr>
          <w:sz w:val="28"/>
          <w:szCs w:val="28"/>
        </w:rPr>
        <w:t xml:space="preserve"> </w:t>
      </w:r>
      <w:r w:rsidR="00E238AA">
        <w:rPr>
          <w:sz w:val="28"/>
          <w:szCs w:val="28"/>
        </w:rPr>
        <w:t xml:space="preserve">от 08.02.2024 года </w:t>
      </w:r>
      <w:r w:rsidR="007E02F8">
        <w:rPr>
          <w:sz w:val="28"/>
          <w:szCs w:val="28"/>
        </w:rPr>
        <w:t>54-па</w:t>
      </w:r>
      <w:r w:rsidR="00E238AA">
        <w:rPr>
          <w:sz w:val="28"/>
          <w:szCs w:val="28"/>
        </w:rPr>
        <w:t>.</w:t>
      </w:r>
    </w:p>
    <w:p w:rsidR="00F507F0" w:rsidRPr="00FC5BB8" w:rsidRDefault="00E238AA" w:rsidP="006903E0">
      <w:pPr>
        <w:pStyle w:val="a6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Результаты независимой оценки за 2023 год,  планы по устранению недостатков размещены </w:t>
      </w:r>
      <w:r w:rsidRPr="00F9604D">
        <w:rPr>
          <w:sz w:val="28"/>
          <w:szCs w:val="28"/>
        </w:rPr>
        <w:t>на официальном сайте для размещения информации о государственн</w:t>
      </w:r>
      <w:r w:rsidR="006903E0">
        <w:rPr>
          <w:sz w:val="28"/>
          <w:szCs w:val="28"/>
        </w:rPr>
        <w:t xml:space="preserve">ых и муниципальных учреждениях </w:t>
      </w:r>
      <w:r w:rsidRPr="006903E0">
        <w:rPr>
          <w:sz w:val="28"/>
          <w:szCs w:val="28"/>
        </w:rPr>
        <w:t>(</w:t>
      </w:r>
      <w:hyperlink r:id="rId6" w:history="1">
        <w:r w:rsidRPr="006903E0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Pr="006903E0">
          <w:rPr>
            <w:rStyle w:val="a7"/>
            <w:color w:val="auto"/>
            <w:sz w:val="28"/>
            <w:szCs w:val="28"/>
            <w:u w:val="none"/>
          </w:rPr>
          <w:t>.</w:t>
        </w:r>
        <w:r w:rsidRPr="006903E0">
          <w:rPr>
            <w:rStyle w:val="a7"/>
            <w:color w:val="auto"/>
            <w:sz w:val="28"/>
            <w:szCs w:val="28"/>
            <w:u w:val="none"/>
            <w:lang w:val="en-US"/>
          </w:rPr>
          <w:t>bus</w:t>
        </w:r>
        <w:r w:rsidRPr="006903E0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6903E0">
          <w:rPr>
            <w:rStyle w:val="a7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6903E0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6903E0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903E0">
        <w:rPr>
          <w:sz w:val="28"/>
          <w:szCs w:val="28"/>
        </w:rPr>
        <w:t>)</w:t>
      </w:r>
      <w:r>
        <w:rPr>
          <w:sz w:val="28"/>
          <w:szCs w:val="28"/>
        </w:rPr>
        <w:t>, сайте Комитета по образованию</w:t>
      </w:r>
      <w:r w:rsidRPr="00F9604D">
        <w:rPr>
          <w:sz w:val="28"/>
          <w:szCs w:val="28"/>
        </w:rPr>
        <w:t xml:space="preserve"> и официальных сайтах</w:t>
      </w:r>
      <w:r>
        <w:rPr>
          <w:sz w:val="28"/>
          <w:szCs w:val="28"/>
        </w:rPr>
        <w:t xml:space="preserve"> образовательных организаций.</w:t>
      </w:r>
      <w:r>
        <w:rPr>
          <w:sz w:val="28"/>
          <w:szCs w:val="28"/>
        </w:rPr>
        <w:tab/>
      </w:r>
    </w:p>
    <w:p w:rsidR="00A42F27" w:rsidRDefault="00A42F27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A42F27" w:rsidRDefault="00A42F27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i/>
          <w:sz w:val="28"/>
          <w:szCs w:val="28"/>
        </w:rPr>
      </w:pPr>
    </w:p>
    <w:p w:rsidR="00A42F27" w:rsidRDefault="00A42F27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i/>
          <w:sz w:val="28"/>
          <w:szCs w:val="28"/>
        </w:rPr>
      </w:pPr>
    </w:p>
    <w:p w:rsidR="00A42F27" w:rsidRDefault="00A42F27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i/>
          <w:sz w:val="28"/>
          <w:szCs w:val="28"/>
        </w:rPr>
      </w:pPr>
    </w:p>
    <w:p w:rsidR="00A42F27" w:rsidRDefault="00A42F27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i/>
          <w:sz w:val="28"/>
          <w:szCs w:val="28"/>
        </w:rPr>
      </w:pPr>
    </w:p>
    <w:p w:rsidR="00A42F27" w:rsidRDefault="00A42F27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i/>
          <w:sz w:val="28"/>
          <w:szCs w:val="28"/>
        </w:rPr>
      </w:pPr>
    </w:p>
    <w:p w:rsidR="00D13E0E" w:rsidRPr="00E238AA" w:rsidRDefault="00E238AA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i/>
          <w:sz w:val="28"/>
          <w:szCs w:val="28"/>
        </w:rPr>
      </w:pPr>
      <w:r w:rsidRPr="00E238AA">
        <w:rPr>
          <w:rFonts w:ascii="Times New Roman" w:hAnsi="Times New Roman"/>
          <w:i/>
          <w:sz w:val="28"/>
          <w:szCs w:val="28"/>
        </w:rPr>
        <w:t xml:space="preserve">Приложение: </w:t>
      </w:r>
      <w:r w:rsidR="00544D9D">
        <w:rPr>
          <w:rFonts w:ascii="Times New Roman" w:hAnsi="Times New Roman"/>
          <w:i/>
          <w:sz w:val="28"/>
          <w:szCs w:val="28"/>
        </w:rPr>
        <w:t>«Сводная таблица результатов НОКО за 2023 год»</w:t>
      </w:r>
    </w:p>
    <w:p w:rsidR="00E238AA" w:rsidRDefault="00E238AA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  <w:sectPr w:rsidR="00E238AA" w:rsidSect="0080542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E238AA" w:rsidRPr="00E238AA" w:rsidRDefault="00E238AA" w:rsidP="00A42F27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</w:pPr>
      <w:r w:rsidRPr="00E238AA">
        <w:rPr>
          <w:rFonts w:ascii="Times New Roman" w:hAnsi="Times New Roman"/>
          <w:sz w:val="24"/>
          <w:szCs w:val="24"/>
        </w:rPr>
        <w:lastRenderedPageBreak/>
        <w:t xml:space="preserve">Приложение 1 </w:t>
      </w:r>
    </w:p>
    <w:p w:rsidR="00544D9D" w:rsidRDefault="00E238AA" w:rsidP="00A42F27">
      <w:pPr>
        <w:widowControl w:val="0"/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hAnsi="Times New Roman"/>
          <w:b/>
          <w:sz w:val="28"/>
          <w:szCs w:val="28"/>
        </w:rPr>
      </w:pPr>
      <w:r w:rsidRPr="00E238AA">
        <w:rPr>
          <w:rFonts w:ascii="Times New Roman" w:hAnsi="Times New Roman"/>
          <w:b/>
          <w:sz w:val="28"/>
          <w:szCs w:val="28"/>
        </w:rPr>
        <w:t>Сводная таблица результатов по итогам независимой оценки за 2023 год</w:t>
      </w:r>
    </w:p>
    <w:tbl>
      <w:tblPr>
        <w:tblW w:w="5670" w:type="dxa"/>
        <w:tblLook w:val="04A0" w:firstRow="1" w:lastRow="0" w:firstColumn="1" w:lastColumn="0" w:noHBand="0" w:noVBand="1"/>
      </w:tblPr>
      <w:tblGrid>
        <w:gridCol w:w="2238"/>
        <w:gridCol w:w="1469"/>
        <w:gridCol w:w="544"/>
        <w:gridCol w:w="544"/>
        <w:gridCol w:w="544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</w:tblGrid>
      <w:tr w:rsidR="007D5A43" w:rsidRPr="00BC6D42" w:rsidTr="00A04451">
        <w:trPr>
          <w:trHeight w:val="315"/>
        </w:trPr>
        <w:tc>
          <w:tcPr>
            <w:tcW w:w="19543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A43" w:rsidRPr="00BC6D42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56DD4" w:rsidRPr="007E02F8" w:rsidTr="00A04451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1.1.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1.2.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1.3.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2.1.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2.3.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3.1.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3.2.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3.3.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4.1.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4.2.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4.3.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5.1.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5.2.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 5.3.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Критерий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textDirection w:val="btLr"/>
            <w:vAlign w:val="center"/>
            <w:hideMark/>
          </w:tcPr>
          <w:p w:rsidR="007D5A43" w:rsidRPr="007E02F8" w:rsidRDefault="007D5A43" w:rsidP="00A42F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</w:tr>
      <w:tr w:rsidR="007D5A43" w:rsidRPr="007E02F8" w:rsidTr="00A04451">
        <w:trPr>
          <w:trHeight w:val="315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организаций &gt; среднего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4   </w:t>
            </w:r>
          </w:p>
        </w:tc>
      </w:tr>
      <w:tr w:rsidR="007D5A43" w:rsidRPr="007E02F8" w:rsidTr="00A04451">
        <w:trPr>
          <w:trHeight w:val="315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организаций, набравших 100 баллов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-     </w:t>
            </w:r>
          </w:p>
        </w:tc>
      </w:tr>
      <w:tr w:rsidR="007E02F8" w:rsidRPr="007E02F8" w:rsidTr="00A0445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2A5D0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Средний балл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94,29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93,66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95,79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91,57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96,71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95,71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95,86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96,29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96,03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2A5D0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88,64</w:t>
            </w:r>
          </w:p>
        </w:tc>
      </w:tr>
      <w:tr w:rsidR="007D5A43" w:rsidRPr="007E02F8" w:rsidTr="00A0445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  <w:r w:rsidR="007E02F8"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БОУ</w:t>
            </w: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«Гимназия №1»</w:t>
            </w:r>
            <w:r w:rsidR="007E02F8"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им. А.Г.Артемьевой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C56DD4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6D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84,90</w:t>
            </w:r>
          </w:p>
        </w:tc>
      </w:tr>
      <w:tr w:rsidR="007D5A43" w:rsidRPr="007E02F8" w:rsidTr="007E02F8">
        <w:trPr>
          <w:trHeight w:val="40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  <w:r w:rsid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БОУ «СОШ №2»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C56DD4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6D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89,94</w:t>
            </w:r>
          </w:p>
        </w:tc>
      </w:tr>
      <w:tr w:rsidR="007D5A43" w:rsidRPr="007E02F8" w:rsidTr="00A0445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 </w:t>
            </w:r>
            <w:r w:rsid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БОУ «Лицей» им. К.Д.Ушинского 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C56DD4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6D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84,08</w:t>
            </w:r>
          </w:p>
        </w:tc>
      </w:tr>
      <w:tr w:rsidR="007D5A43" w:rsidRPr="007E02F8" w:rsidTr="007E02F8">
        <w:trPr>
          <w:trHeight w:val="47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4. </w:t>
            </w:r>
            <w:r w:rsid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БОУ «СОШ </w:t>
            </w: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№4» 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C56DD4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6D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93,56</w:t>
            </w:r>
          </w:p>
        </w:tc>
      </w:tr>
      <w:tr w:rsidR="007D5A43" w:rsidRPr="007E02F8" w:rsidTr="007E02F8">
        <w:trPr>
          <w:trHeight w:val="113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5. </w:t>
            </w:r>
            <w:r w:rsid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МБОУ ДО </w:t>
            </w: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«Детская музыкальная школа» 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C56DD4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6D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91,34</w:t>
            </w:r>
          </w:p>
        </w:tc>
      </w:tr>
      <w:tr w:rsidR="007D5A43" w:rsidRPr="007E02F8" w:rsidTr="007E02F8">
        <w:trPr>
          <w:trHeight w:val="10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6. </w:t>
            </w:r>
            <w:r w:rsid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МБУ ДО </w:t>
            </w: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«Детская художественная школ</w:t>
            </w:r>
            <w:r w:rsid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C56DD4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6D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91,92</w:t>
            </w:r>
          </w:p>
        </w:tc>
      </w:tr>
      <w:tr w:rsidR="007D5A43" w:rsidRPr="007E02F8" w:rsidTr="007E02F8">
        <w:trPr>
          <w:trHeight w:val="9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7. </w:t>
            </w:r>
            <w:r w:rsidR="007E02F8"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МБУ ДО </w:t>
            </w:r>
            <w:r w:rsidRPr="007E02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«Репинская детская школа искусств»</w:t>
            </w: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7E02F8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43" w:rsidRPr="00C56DD4" w:rsidRDefault="007D5A43" w:rsidP="00A42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56D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84,74</w:t>
            </w:r>
          </w:p>
        </w:tc>
      </w:tr>
    </w:tbl>
    <w:p w:rsidR="00BF7DD2" w:rsidRPr="00805426" w:rsidRDefault="00BF7DD2" w:rsidP="00A42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F7DD2" w:rsidRPr="00805426" w:rsidSect="00C56DD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7A93"/>
    <w:multiLevelType w:val="hybridMultilevel"/>
    <w:tmpl w:val="688E7246"/>
    <w:lvl w:ilvl="0" w:tplc="C5226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635A6"/>
    <w:multiLevelType w:val="hybridMultilevel"/>
    <w:tmpl w:val="CC149072"/>
    <w:lvl w:ilvl="0" w:tplc="C522663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87A4418"/>
    <w:multiLevelType w:val="hybridMultilevel"/>
    <w:tmpl w:val="2D78E0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9C64E1"/>
    <w:multiLevelType w:val="hybridMultilevel"/>
    <w:tmpl w:val="D56E596C"/>
    <w:lvl w:ilvl="0" w:tplc="C5226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83DBB"/>
    <w:multiLevelType w:val="hybridMultilevel"/>
    <w:tmpl w:val="9986495C"/>
    <w:lvl w:ilvl="0" w:tplc="CC80EB74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76443A"/>
    <w:multiLevelType w:val="hybridMultilevel"/>
    <w:tmpl w:val="502C0D46"/>
    <w:lvl w:ilvl="0" w:tplc="C52266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D86A65"/>
    <w:multiLevelType w:val="hybridMultilevel"/>
    <w:tmpl w:val="F22ACAA4"/>
    <w:lvl w:ilvl="0" w:tplc="2F424DF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3437F4"/>
    <w:multiLevelType w:val="hybridMultilevel"/>
    <w:tmpl w:val="72B4D7E8"/>
    <w:lvl w:ilvl="0" w:tplc="C522663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43F26976"/>
    <w:multiLevelType w:val="hybridMultilevel"/>
    <w:tmpl w:val="2E9EB636"/>
    <w:lvl w:ilvl="0" w:tplc="2F424DF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7720EB"/>
    <w:multiLevelType w:val="hybridMultilevel"/>
    <w:tmpl w:val="FF40D75A"/>
    <w:lvl w:ilvl="0" w:tplc="2C48427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D3B7BE9"/>
    <w:multiLevelType w:val="hybridMultilevel"/>
    <w:tmpl w:val="C82CF3E2"/>
    <w:lvl w:ilvl="0" w:tplc="2F424DFC">
      <w:start w:val="1"/>
      <w:numFmt w:val="bullet"/>
      <w:lvlText w:val="-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B5558E"/>
    <w:multiLevelType w:val="hybridMultilevel"/>
    <w:tmpl w:val="F33ABCE0"/>
    <w:lvl w:ilvl="0" w:tplc="2F424DFC">
      <w:start w:val="1"/>
      <w:numFmt w:val="bullet"/>
      <w:lvlText w:val="-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65773"/>
    <w:multiLevelType w:val="hybridMultilevel"/>
    <w:tmpl w:val="4DFE7C42"/>
    <w:lvl w:ilvl="0" w:tplc="2F424DF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303799"/>
    <w:multiLevelType w:val="hybridMultilevel"/>
    <w:tmpl w:val="36C82690"/>
    <w:lvl w:ilvl="0" w:tplc="2F424DFC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  <w:num w:numId="13">
    <w:abstractNumId w:val="3"/>
  </w:num>
  <w:num w:numId="14">
    <w:abstractNumId w:val="0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26"/>
    <w:rsid w:val="00072F9F"/>
    <w:rsid w:val="001B7513"/>
    <w:rsid w:val="0027045A"/>
    <w:rsid w:val="00431ADD"/>
    <w:rsid w:val="004C6A16"/>
    <w:rsid w:val="004D34AA"/>
    <w:rsid w:val="004F20B1"/>
    <w:rsid w:val="0051484B"/>
    <w:rsid w:val="00544D9D"/>
    <w:rsid w:val="00546960"/>
    <w:rsid w:val="0055378C"/>
    <w:rsid w:val="005776F9"/>
    <w:rsid w:val="00590375"/>
    <w:rsid w:val="00621866"/>
    <w:rsid w:val="006903E0"/>
    <w:rsid w:val="006A041A"/>
    <w:rsid w:val="007D5A43"/>
    <w:rsid w:val="007E02F8"/>
    <w:rsid w:val="00805426"/>
    <w:rsid w:val="009A6C5A"/>
    <w:rsid w:val="009C24AF"/>
    <w:rsid w:val="00A07E99"/>
    <w:rsid w:val="00A42F27"/>
    <w:rsid w:val="00A51024"/>
    <w:rsid w:val="00AF2AB7"/>
    <w:rsid w:val="00B077CF"/>
    <w:rsid w:val="00B92EE0"/>
    <w:rsid w:val="00BF7DD2"/>
    <w:rsid w:val="00C044FF"/>
    <w:rsid w:val="00C35FBD"/>
    <w:rsid w:val="00C56DD4"/>
    <w:rsid w:val="00C875B7"/>
    <w:rsid w:val="00D13E0E"/>
    <w:rsid w:val="00E238AA"/>
    <w:rsid w:val="00E665FF"/>
    <w:rsid w:val="00E70AAD"/>
    <w:rsid w:val="00E9420F"/>
    <w:rsid w:val="00EA4FD1"/>
    <w:rsid w:val="00EB6397"/>
    <w:rsid w:val="00F507F0"/>
    <w:rsid w:val="00F854A5"/>
    <w:rsid w:val="00FC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D229"/>
  <w15:docId w15:val="{183BA626-AB08-4860-94D6-86A80993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A041A"/>
    <w:pPr>
      <w:ind w:left="720"/>
      <w:contextualSpacing/>
    </w:pPr>
  </w:style>
  <w:style w:type="character" w:customStyle="1" w:styleId="a5">
    <w:name w:val="Основной текст отчета Знак"/>
    <w:link w:val="a6"/>
    <w:locked/>
    <w:rsid w:val="006A041A"/>
    <w:rPr>
      <w:rFonts w:ascii="Times New Roman" w:eastAsia="Calibri" w:hAnsi="Times New Roman" w:cs="Times New Roman"/>
      <w:sz w:val="20"/>
      <w:szCs w:val="20"/>
    </w:rPr>
  </w:style>
  <w:style w:type="paragraph" w:customStyle="1" w:styleId="a6">
    <w:name w:val="Основной текст отчета"/>
    <w:basedOn w:val="a"/>
    <w:link w:val="a5"/>
    <w:qFormat/>
    <w:rsid w:val="006A041A"/>
    <w:pPr>
      <w:spacing w:after="0"/>
      <w:ind w:firstLine="708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C044FF"/>
  </w:style>
  <w:style w:type="character" w:styleId="a7">
    <w:name w:val="Hyperlink"/>
    <w:basedOn w:val="a0"/>
    <w:uiPriority w:val="99"/>
    <w:unhideWhenUsed/>
    <w:rsid w:val="00E238A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A4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6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6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0842A-64C4-4C4E-B955-538107F2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Data1_4</dc:creator>
  <cp:keywords/>
  <dc:description/>
  <cp:lastModifiedBy>RePack by Diakov</cp:lastModifiedBy>
  <cp:revision>2</cp:revision>
  <cp:lastPrinted>2024-05-30T04:14:00Z</cp:lastPrinted>
  <dcterms:created xsi:type="dcterms:W3CDTF">2024-06-07T09:48:00Z</dcterms:created>
  <dcterms:modified xsi:type="dcterms:W3CDTF">2024-06-07T09:48:00Z</dcterms:modified>
</cp:coreProperties>
</file>