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0314" w:type="dxa"/>
        <w:tblLayout w:type="fixed"/>
        <w:tblLook w:val="01E0"/>
      </w:tblPr>
      <w:tblGrid>
        <w:gridCol w:w="2494"/>
        <w:gridCol w:w="1133"/>
        <w:gridCol w:w="3400"/>
        <w:gridCol w:w="1587"/>
        <w:gridCol w:w="1700"/>
      </w:tblGrid>
      <w:tr w:rsidR="0004328A">
        <w:trPr>
          <w:trHeight w:val="322"/>
        </w:trPr>
        <w:tc>
          <w:tcPr>
            <w:tcW w:w="10314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28A" w:rsidRDefault="0052559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0" w:name="__bookmark_1"/>
            <w:bookmarkEnd w:id="0"/>
            <w:r>
              <w:rPr>
                <w:b/>
                <w:bCs/>
                <w:color w:val="000000"/>
                <w:sz w:val="28"/>
                <w:szCs w:val="28"/>
              </w:rPr>
              <w:t>ПОЯСНИТЕЛЬНАЯ ЗАПИСКА</w:t>
            </w:r>
          </w:p>
        </w:tc>
      </w:tr>
      <w:tr w:rsidR="0004328A">
        <w:trPr>
          <w:trHeight w:val="322"/>
        </w:trPr>
        <w:tc>
          <w:tcPr>
            <w:tcW w:w="10314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28A" w:rsidRDefault="0052559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04328A">
        <w:tc>
          <w:tcPr>
            <w:tcW w:w="861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28A" w:rsidRDefault="0004328A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28A" w:rsidRDefault="0052559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КОДЫ</w:t>
            </w:r>
          </w:p>
        </w:tc>
      </w:tr>
      <w:tr w:rsidR="0004328A"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28A" w:rsidRDefault="0004328A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28A" w:rsidRDefault="0052559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Форма по ОКУД</w:t>
            </w:r>
          </w:p>
        </w:tc>
        <w:tc>
          <w:tcPr>
            <w:tcW w:w="170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28A" w:rsidRDefault="0052559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0503160</w:t>
            </w:r>
          </w:p>
        </w:tc>
      </w:tr>
      <w:tr w:rsidR="0004328A">
        <w:tc>
          <w:tcPr>
            <w:tcW w:w="24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28A" w:rsidRDefault="0004328A">
            <w:pPr>
              <w:spacing w:line="1" w:lineRule="auto"/>
            </w:pPr>
          </w:p>
        </w:tc>
        <w:tc>
          <w:tcPr>
            <w:tcW w:w="4533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453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533"/>
            </w:tblGrid>
            <w:tr w:rsidR="0004328A">
              <w:trPr>
                <w:jc w:val="center"/>
              </w:trPr>
              <w:tc>
                <w:tcPr>
                  <w:tcW w:w="45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28A" w:rsidRDefault="00525596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 1 января 2022 г.</w:t>
                  </w:r>
                </w:p>
              </w:tc>
            </w:tr>
          </w:tbl>
          <w:p w:rsidR="0004328A" w:rsidRDefault="0004328A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28A" w:rsidRDefault="0052559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28A" w:rsidRDefault="0052559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01.01.2022</w:t>
            </w:r>
          </w:p>
        </w:tc>
      </w:tr>
      <w:tr w:rsidR="0004328A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28A" w:rsidRDefault="0052559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распорядитель, распорядитель,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28A" w:rsidRDefault="0004328A">
            <w:pPr>
              <w:spacing w:line="1" w:lineRule="auto"/>
            </w:pPr>
          </w:p>
        </w:tc>
        <w:tc>
          <w:tcPr>
            <w:tcW w:w="1700" w:type="dxa"/>
            <w:vMerge w:val="restart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700"/>
            </w:tblGrid>
            <w:tr w:rsidR="0004328A">
              <w:trPr>
                <w:jc w:val="center"/>
              </w:trPr>
              <w:tc>
                <w:tcPr>
                  <w:tcW w:w="1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28A" w:rsidRDefault="00525596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ГРБС</w:t>
                  </w:r>
                </w:p>
              </w:tc>
            </w:tr>
          </w:tbl>
          <w:p w:rsidR="0004328A" w:rsidRDefault="0004328A">
            <w:pPr>
              <w:spacing w:line="1" w:lineRule="auto"/>
            </w:pPr>
          </w:p>
        </w:tc>
      </w:tr>
      <w:tr w:rsidR="0004328A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28A" w:rsidRDefault="0052559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получатель бюджетных средств, главный администратор,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28A" w:rsidRDefault="0004328A">
            <w:pPr>
              <w:spacing w:line="1" w:lineRule="auto"/>
            </w:pPr>
          </w:p>
        </w:tc>
        <w:tc>
          <w:tcPr>
            <w:tcW w:w="1700" w:type="dxa"/>
            <w:vMerge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28A" w:rsidRDefault="0004328A">
            <w:pPr>
              <w:spacing w:line="1" w:lineRule="auto"/>
            </w:pPr>
          </w:p>
        </w:tc>
      </w:tr>
      <w:tr w:rsidR="0004328A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28A" w:rsidRDefault="0052559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администратор доходов бюджета,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28A" w:rsidRDefault="0052559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ОКПО</w:t>
            </w:r>
          </w:p>
        </w:tc>
        <w:tc>
          <w:tcPr>
            <w:tcW w:w="1700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28A" w:rsidRDefault="0052559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04035828</w:t>
            </w:r>
          </w:p>
        </w:tc>
      </w:tr>
      <w:tr w:rsidR="0004328A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28A" w:rsidRDefault="0052559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администратор, администратор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28A" w:rsidRDefault="0004328A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28A" w:rsidRDefault="0004328A">
            <w:pPr>
              <w:spacing w:line="1" w:lineRule="auto"/>
              <w:jc w:val="center"/>
            </w:pPr>
          </w:p>
        </w:tc>
      </w:tr>
      <w:tr w:rsidR="0004328A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28A" w:rsidRDefault="0052559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источников финансирования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28A" w:rsidRDefault="0004328A">
            <w:pPr>
              <w:spacing w:line="1" w:lineRule="auto"/>
            </w:pPr>
          </w:p>
        </w:tc>
        <w:tc>
          <w:tcPr>
            <w:tcW w:w="1700" w:type="dxa"/>
            <w:tcBorders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28A" w:rsidRDefault="0004328A">
            <w:pPr>
              <w:spacing w:line="1" w:lineRule="auto"/>
              <w:jc w:val="center"/>
            </w:pPr>
          </w:p>
        </w:tc>
      </w:tr>
      <w:tr w:rsidR="0004328A">
        <w:trPr>
          <w:trHeight w:val="680"/>
        </w:trPr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52559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дефицита бюджета</w:t>
            </w:r>
          </w:p>
        </w:tc>
        <w:tc>
          <w:tcPr>
            <w:tcW w:w="3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525596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АДМИНИСТРАЦИЯ КАЛАЧИНСКОГО МУНИЦИПАЛЬНОГО РАЙОНА ОМСКОЙ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28A" w:rsidRDefault="0052559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 по БК</w:t>
            </w:r>
          </w:p>
        </w:tc>
        <w:tc>
          <w:tcPr>
            <w:tcW w:w="1700" w:type="dxa"/>
            <w:tcBorders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28A" w:rsidRDefault="0052559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502</w:t>
            </w:r>
          </w:p>
        </w:tc>
      </w:tr>
      <w:tr w:rsidR="0004328A">
        <w:trPr>
          <w:trHeight w:val="226"/>
        </w:trPr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28A" w:rsidRDefault="0052559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бюджета</w:t>
            </w:r>
          </w:p>
        </w:tc>
        <w:tc>
          <w:tcPr>
            <w:tcW w:w="3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28A" w:rsidRDefault="00525596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Собственный Бюджет Калачинского муниципального района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28A" w:rsidRDefault="0004328A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28A" w:rsidRDefault="0004328A">
            <w:pPr>
              <w:spacing w:line="1" w:lineRule="auto"/>
              <w:jc w:val="center"/>
            </w:pPr>
          </w:p>
        </w:tc>
      </w:tr>
      <w:tr w:rsidR="0004328A"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28A" w:rsidRDefault="0052559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(публично-правового образования)</w:t>
            </w:r>
          </w:p>
        </w:tc>
        <w:tc>
          <w:tcPr>
            <w:tcW w:w="3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28A" w:rsidRDefault="0004328A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28A" w:rsidRDefault="0052559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ОКТМО</w:t>
            </w:r>
          </w:p>
        </w:tc>
        <w:tc>
          <w:tcPr>
            <w:tcW w:w="1700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700"/>
            </w:tblGrid>
            <w:tr w:rsidR="0004328A">
              <w:trPr>
                <w:jc w:val="center"/>
              </w:trPr>
              <w:tc>
                <w:tcPr>
                  <w:tcW w:w="1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28A" w:rsidRDefault="00525596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52618000</w:t>
                  </w:r>
                </w:p>
              </w:tc>
            </w:tr>
          </w:tbl>
          <w:p w:rsidR="0004328A" w:rsidRDefault="0004328A">
            <w:pPr>
              <w:spacing w:line="1" w:lineRule="auto"/>
            </w:pPr>
          </w:p>
        </w:tc>
      </w:tr>
      <w:tr w:rsidR="0004328A">
        <w:trPr>
          <w:hidden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28A" w:rsidRDefault="0004328A">
            <w:pPr>
              <w:rPr>
                <w:vanish/>
              </w:rPr>
            </w:pPr>
          </w:p>
          <w:tbl>
            <w:tblPr>
              <w:tblOverlap w:val="never"/>
              <w:tblW w:w="702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7027"/>
            </w:tblGrid>
            <w:tr w:rsidR="0004328A">
              <w:tc>
                <w:tcPr>
                  <w:tcW w:w="70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28A" w:rsidRDefault="00525596">
                  <w:r>
                    <w:rPr>
                      <w:color w:val="000000"/>
                      <w:sz w:val="28"/>
                      <w:szCs w:val="28"/>
                    </w:rPr>
                    <w:t>Периодичность: месячная, квартальная, годовая</w:t>
                  </w:r>
                </w:p>
              </w:tc>
            </w:tr>
          </w:tbl>
          <w:p w:rsidR="0004328A" w:rsidRDefault="0004328A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28A" w:rsidRDefault="0004328A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28A" w:rsidRDefault="0004328A">
            <w:pPr>
              <w:spacing w:line="1" w:lineRule="auto"/>
              <w:jc w:val="center"/>
            </w:pPr>
          </w:p>
        </w:tc>
      </w:tr>
      <w:tr w:rsidR="0004328A">
        <w:trPr>
          <w:hidden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28A" w:rsidRDefault="0004328A">
            <w:pPr>
              <w:rPr>
                <w:vanish/>
              </w:rPr>
            </w:pPr>
          </w:p>
          <w:tbl>
            <w:tblPr>
              <w:tblOverlap w:val="never"/>
              <w:tblW w:w="7027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7027"/>
            </w:tblGrid>
            <w:tr w:rsidR="0004328A">
              <w:tc>
                <w:tcPr>
                  <w:tcW w:w="70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28A" w:rsidRDefault="00525596">
                  <w:r>
                    <w:rPr>
                      <w:color w:val="000000"/>
                      <w:sz w:val="28"/>
                      <w:szCs w:val="28"/>
                    </w:rPr>
                    <w:t>Единица измерения: руб.</w:t>
                  </w:r>
                </w:p>
              </w:tc>
            </w:tr>
          </w:tbl>
          <w:p w:rsidR="0004328A" w:rsidRDefault="0004328A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28A" w:rsidRDefault="0052559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ОКЕИ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4328A" w:rsidRDefault="0052559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</w:t>
            </w:r>
          </w:p>
        </w:tc>
      </w:tr>
    </w:tbl>
    <w:p w:rsidR="0004328A" w:rsidRDefault="0004328A">
      <w:pPr>
        <w:rPr>
          <w:vanish/>
        </w:rPr>
      </w:pPr>
      <w:bookmarkStart w:id="1" w:name="__bookmark_3"/>
      <w:bookmarkEnd w:id="1"/>
    </w:p>
    <w:tbl>
      <w:tblPr>
        <w:tblOverlap w:val="never"/>
        <w:tblW w:w="10314" w:type="dxa"/>
        <w:tblLayout w:type="fixed"/>
        <w:tblLook w:val="01E0"/>
      </w:tblPr>
      <w:tblGrid>
        <w:gridCol w:w="2494"/>
        <w:gridCol w:w="1133"/>
        <w:gridCol w:w="566"/>
        <w:gridCol w:w="2834"/>
        <w:gridCol w:w="1587"/>
        <w:gridCol w:w="1700"/>
      </w:tblGrid>
      <w:tr w:rsidR="0004328A">
        <w:tc>
          <w:tcPr>
            <w:tcW w:w="24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52559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  <w:jc w:val="center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  <w:jc w:val="center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  <w:jc w:val="center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  <w:jc w:val="center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  <w:jc w:val="center"/>
            </w:pPr>
          </w:p>
        </w:tc>
      </w:tr>
      <w:tr w:rsidR="0004328A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52559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1 «Организационная структура субъекта бюджетной отчетности»</w:t>
            </w:r>
          </w:p>
          <w:p w:rsidR="0004328A" w:rsidRDefault="0052559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0314"/>
            </w:tblGrid>
            <w:tr w:rsidR="0004328A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28A" w:rsidRDefault="00525596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Администрации Калачинского муниципального района Омской области обладает правами юридического лица, имеет в оперативном управлении муниципальное имущество, может от своего имени приобретать и осуществлять имущественные и неимущественные права, быть истцом </w:t>
                  </w:r>
                  <w:r>
                    <w:rPr>
                      <w:color w:val="000000"/>
                      <w:sz w:val="28"/>
                      <w:szCs w:val="28"/>
                    </w:rPr>
                    <w:t>и ответчиком  в суде, арбитражном суде, имеет самостоятельный баланс, лицевые счета в органе исполняющем бюджет.  В своей деятельности Администрация Калачинского муниципального района руководствуется Конституцией Российской Федерации, федеральными законами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и законами Омской области, Уставом муниципального района, иными муниципальными правовыми актами, Положением об администрации Калачинского муниципального района.  Администрация Калачинского муниципального района Омской области имеет  подведомственное учреж</w:t>
                  </w:r>
                  <w:r>
                    <w:rPr>
                      <w:color w:val="000000"/>
                      <w:sz w:val="28"/>
                      <w:szCs w:val="28"/>
                    </w:rPr>
                    <w:t>дение МКУ "ЦУС Калачинского муниципального района Омской области", финансируемое из бюджета Калачинского муниципального района.</w:t>
                  </w:r>
                </w:p>
              </w:tc>
            </w:tr>
          </w:tbl>
          <w:p w:rsidR="0004328A" w:rsidRDefault="0052559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04328A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52559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2 «Результаты деятельности субъекта бюджетной отчетности»</w:t>
            </w:r>
          </w:p>
          <w:p w:rsidR="0004328A" w:rsidRDefault="0052559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0314"/>
            </w:tblGrid>
            <w:tr w:rsidR="0004328A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28A" w:rsidRDefault="00525596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Ведение бюджетного учета сметы администрации осуществляет отдел бухгалтерского учета и отчетности в соответствии с Инструкцией по бюджетному учету, утверждённой Приказом Минфина РФ №162н от 06.12.2010 г</w:t>
                  </w:r>
                </w:p>
                <w:p w:rsidR="0004328A" w:rsidRDefault="00525596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Возглавляет администрацию Глава муниципального района</w:t>
                  </w:r>
                  <w:r>
                    <w:rPr>
                      <w:color w:val="000000"/>
                      <w:sz w:val="28"/>
                      <w:szCs w:val="28"/>
                    </w:rPr>
                    <w:t>.  Штат администрации на 01 января 2022 составляет 40 единиц, в том числе муниципальных служащих-36 единиц.  В администрации образованы 7 отделов: отдел правового обеспечения, отдел бухгалтерского учета и отчетности, комитет по экономическому развитию и ин</w:t>
                  </w:r>
                  <w:r>
                    <w:rPr>
                      <w:color w:val="000000"/>
                      <w:sz w:val="28"/>
                      <w:szCs w:val="28"/>
                    </w:rPr>
                    <w:t>вестициям, отдел по делам мобилизационной подготовки ГО и ЧС, общий отдел, отдел архитектуры и строительства и архивный отдел.  Ведение бюджетного учета сметы администрации осуществляет отдел бухгалтерского учета и отчетности в соответствии с Единым планом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счетов бухгалтерского учета, утвержденным Приказом Министерства финансов РФ от 01.12.2010 №157н. Финансирование деятельности осуществляется за счет средств  бюджета Калачинского муниципального района. На расходы, связанные с исполнением полномочий  за  20</w:t>
                  </w:r>
                  <w:r>
                    <w:rPr>
                      <w:color w:val="000000"/>
                      <w:sz w:val="28"/>
                      <w:szCs w:val="28"/>
                    </w:rPr>
                    <w:t>21 год направлено 157667тыс. руб., на содержание подведомственного учреждения МКУ "ЦУС "-40568 тыс.руб..</w:t>
                  </w:r>
                </w:p>
              </w:tc>
            </w:tr>
          </w:tbl>
          <w:p w:rsidR="0004328A" w:rsidRDefault="0052559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tr w:rsidR="0004328A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52559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3 «Анализ отчета об исполнении бюджета субъектом бюджетной отчетности»</w:t>
            </w:r>
          </w:p>
          <w:p w:rsidR="0004328A" w:rsidRDefault="0052559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0314"/>
            </w:tblGrid>
            <w:tr w:rsidR="0004328A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28A" w:rsidRDefault="00525596">
                  <w:pPr>
                    <w:spacing w:before="190" w:after="190"/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Информация об исполнении текстовых статей Решения Совета Калачинского муниципального района "О бюджете Калачинского муниципального района Омской области на 2021 год и на плановый период 2022 и 2023 годов " № 15-РС от 18.12.2020представлена в приложении к п</w:t>
                  </w:r>
                  <w:r>
                    <w:rPr>
                      <w:color w:val="000000"/>
                      <w:sz w:val="28"/>
                      <w:szCs w:val="28"/>
                    </w:rPr>
                    <w:t>ояснительной записке – Таблице № 3 «Сведения об исполнении текстовых статей закона (решения) о бюджете»</w:t>
                  </w:r>
                </w:p>
                <w:p w:rsidR="0004328A" w:rsidRDefault="00525596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В форме 0503164 «Сведения об исполнении бюджета»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отражены показатели исполнения районного бюджета. </w:t>
                  </w:r>
                </w:p>
                <w:p w:rsidR="0004328A" w:rsidRDefault="00525596">
                  <w:pPr>
                    <w:spacing w:before="190" w:after="190"/>
                    <w:ind w:firstLine="54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Форма 0503166 «Сведения об исполнении мероприятий в </w:t>
                  </w:r>
                  <w:r>
                    <w:rPr>
                      <w:color w:val="000000"/>
                      <w:sz w:val="28"/>
                      <w:szCs w:val="28"/>
                    </w:rPr>
                    <w:t>рамках целевых программ»в составе отчетности не представлена, так как администрация не принимает участие в исполнении федеральных целевых программ, и так как Инструкцией предусмотрено, что Приложение оформляется получателями средств федерального бюджета.</w:t>
                  </w:r>
                </w:p>
              </w:tc>
            </w:tr>
          </w:tbl>
          <w:p w:rsidR="0004328A" w:rsidRDefault="0052559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04328A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52559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4 «Анализ показателей бухгалтерской отчетности субъекта бюджетной отчетности»</w:t>
            </w:r>
          </w:p>
          <w:p w:rsidR="0004328A" w:rsidRDefault="0052559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0314"/>
            </w:tblGrid>
            <w:tr w:rsidR="0004328A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28A" w:rsidRDefault="00525596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Сведения по дебиторской и кредиторской задолженности отражены в форме 0503169. На 01.01.2022г. числится дебиторская задолженность в сумме 8120тыс.руб.в т.ч по МБТ 8050тыс.руб.Кредиторская задолженность по транспортному налогу и налогу по имуществу в сумме </w:t>
                  </w:r>
                  <w:r>
                    <w:rPr>
                      <w:color w:val="000000"/>
                      <w:sz w:val="28"/>
                      <w:szCs w:val="28"/>
                    </w:rPr>
                    <w:t>3тыс.руб. а также 634 тыс.руб. за поставку локальной станции очистки воды ООО "АкваСтройРус".</w:t>
                  </w:r>
                </w:p>
                <w:p w:rsidR="0004328A" w:rsidRDefault="0004328A">
                  <w:pPr>
                    <w:jc w:val="both"/>
                  </w:pPr>
                </w:p>
              </w:tc>
            </w:tr>
          </w:tbl>
          <w:p w:rsidR="0004328A" w:rsidRDefault="0052559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04328A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52559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5 «Прочие вопросы деятельности субъекта бюджетной отчетности»</w:t>
            </w:r>
          </w:p>
          <w:p w:rsidR="0004328A" w:rsidRDefault="0052559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0314"/>
            </w:tblGrid>
            <w:tr w:rsidR="0004328A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28A" w:rsidRDefault="00525596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Ведение бюджетного учёта осуществляется на основании действующих инструкций по бюджетн</w:t>
                  </w:r>
                  <w:r>
                    <w:rPr>
                      <w:color w:val="000000"/>
                      <w:sz w:val="28"/>
                      <w:szCs w:val="28"/>
                    </w:rPr>
                    <w:t>ому учёту, утверждённых приказами Министерства финансов Российской Федерации, Федеральных стандартов бухгалтерского учета государственных финансов.</w:t>
                  </w:r>
                </w:p>
                <w:p w:rsidR="0004328A" w:rsidRDefault="00525596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Для автоматизации ведения бюджетного учета используется программный продукт "1С", для составления отчетности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об исполнении сметы используется информационно-аналитическая система WEB-Консолидация. В целях составления годовой отчетности  проведена инвентаризация имущества и обязательств. Расхождений не установлено, в результате чего таблица 6 «Сведения о проведени</w:t>
                  </w:r>
                  <w:r>
                    <w:rPr>
                      <w:color w:val="000000"/>
                      <w:sz w:val="28"/>
                      <w:szCs w:val="28"/>
                    </w:rPr>
                    <w:t>и инвентаризацией»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>не составлена. </w:t>
                  </w:r>
                </w:p>
                <w:p w:rsidR="0004328A" w:rsidRDefault="00525596">
                  <w:pPr>
                    <w:ind w:firstLine="7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Перечень форм не включенных в состав годовой отчетности и причины:</w:t>
                  </w:r>
                </w:p>
                <w:p w:rsidR="0004328A" w:rsidRDefault="00525596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В связи с отсутствием  показателей для заполнения форм в составе отчетности отсутствуют-</w:t>
                  </w:r>
                </w:p>
                <w:p w:rsidR="0004328A" w:rsidRDefault="00525596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Таблица 6 «Сведения о проведении инвентаризаций»</w:t>
                  </w:r>
                </w:p>
                <w:p w:rsidR="0004328A" w:rsidRDefault="00525596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форма  0503166 «Сведения об исполнении мероприятий в рамках целевых программ»</w:t>
                  </w:r>
                </w:p>
                <w:p w:rsidR="0004328A" w:rsidRDefault="00525596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форма 0503167 «Сведения о целевых иностранных кредитах»</w:t>
                  </w:r>
                </w:p>
                <w:p w:rsidR="0004328A" w:rsidRDefault="00525596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форма 0503172 «Сведения о государственном (муниципальном) долге», по причине отсутствия муниципального долга</w:t>
                  </w:r>
                </w:p>
                <w:p w:rsidR="0004328A" w:rsidRDefault="00525596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форма 0503174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«Сведения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капитале»</w:t>
                  </w:r>
                </w:p>
                <w:p w:rsidR="0004328A" w:rsidRDefault="00525596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форма 0503296  «Сведения об исполнении судебных решений по денежным обяз</w:t>
                  </w:r>
                  <w:r>
                    <w:rPr>
                      <w:color w:val="000000"/>
                      <w:sz w:val="28"/>
                      <w:szCs w:val="28"/>
                    </w:rPr>
                    <w:t>ательствам бюджета»</w:t>
                  </w:r>
                </w:p>
              </w:tc>
            </w:tr>
          </w:tbl>
          <w:p w:rsidR="0004328A" w:rsidRDefault="0052559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04328A">
        <w:tc>
          <w:tcPr>
            <w:tcW w:w="24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</w:tr>
    </w:tbl>
    <w:p w:rsidR="0004328A" w:rsidRDefault="0004328A">
      <w:pPr>
        <w:rPr>
          <w:vanish/>
        </w:rPr>
      </w:pPr>
      <w:bookmarkStart w:id="2" w:name="__bookmark_4"/>
      <w:bookmarkEnd w:id="2"/>
    </w:p>
    <w:tbl>
      <w:tblPr>
        <w:tblOverlap w:val="never"/>
        <w:tblW w:w="10372" w:type="dxa"/>
        <w:tblLayout w:type="fixed"/>
        <w:tblLook w:val="01E0"/>
      </w:tblPr>
      <w:tblGrid>
        <w:gridCol w:w="3118"/>
        <w:gridCol w:w="1700"/>
        <w:gridCol w:w="850"/>
        <w:gridCol w:w="3685"/>
        <w:gridCol w:w="453"/>
        <w:gridCol w:w="566"/>
      </w:tblGrid>
      <w:tr w:rsidR="0004328A"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118"/>
            </w:tblGrid>
            <w:tr w:rsidR="0004328A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28A" w:rsidRDefault="00525596">
                  <w:r>
                    <w:rPr>
                      <w:color w:val="000000"/>
                      <w:sz w:val="28"/>
                      <w:szCs w:val="28"/>
                    </w:rPr>
                    <w:t>Глава района</w:t>
                  </w:r>
                </w:p>
              </w:tc>
            </w:tr>
          </w:tbl>
          <w:p w:rsidR="0004328A" w:rsidRDefault="0004328A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525596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685"/>
            </w:tblGrid>
            <w:tr w:rsidR="0004328A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28A" w:rsidRDefault="00525596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Мецлер Фридрих Александрович</w:t>
                  </w:r>
                </w:p>
              </w:tc>
            </w:tr>
          </w:tbl>
          <w:p w:rsidR="0004328A" w:rsidRDefault="0004328A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</w:tr>
      <w:tr w:rsidR="0004328A"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525596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</w:tr>
      <w:tr w:rsidR="0004328A">
        <w:trPr>
          <w:trHeight w:val="230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04328A">
              <w:trPr>
                <w:trHeight w:val="322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4328A" w:rsidRDefault="00525596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ДОКУМЕНТ ПОДПИСАН ЭЛЕКТРОННОЙ ПОДПИСЬЮ</w:t>
                  </w:r>
                </w:p>
              </w:tc>
            </w:tr>
            <w:tr w:rsidR="0004328A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4328A" w:rsidRDefault="0004328A">
                  <w:pPr>
                    <w:spacing w:line="1" w:lineRule="auto"/>
                  </w:pPr>
                </w:p>
              </w:tc>
            </w:tr>
            <w:tr w:rsidR="0004328A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015"/>
                  </w:tblGrid>
                  <w:tr w:rsidR="0004328A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4328A" w:rsidRDefault="00525596"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Сертификат: 249437BB920E72A5FCD9E0EE6EF6878EC9F29E28</w:t>
                        </w:r>
                      </w:p>
                      <w:p w:rsidR="0004328A" w:rsidRDefault="00525596"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Владелец: Мецлер Фридрих Александрович</w:t>
                        </w:r>
                      </w:p>
                      <w:p w:rsidR="0004328A" w:rsidRDefault="00525596"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Действителен с 20.04.2021 по 20.07.2022</w:t>
                        </w:r>
                      </w:p>
                      <w:p w:rsidR="0004328A" w:rsidRDefault="00525596"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Дата подписания: 01.02.2022</w:t>
                        </w:r>
                      </w:p>
                    </w:tc>
                  </w:tr>
                </w:tbl>
                <w:p w:rsidR="0004328A" w:rsidRDefault="0004328A">
                  <w:pPr>
                    <w:spacing w:line="1" w:lineRule="auto"/>
                  </w:pPr>
                </w:p>
              </w:tc>
            </w:tr>
            <w:tr w:rsidR="0004328A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28A" w:rsidRDefault="0004328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28A" w:rsidRDefault="0004328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28A" w:rsidRDefault="0004328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28A" w:rsidRDefault="0004328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28A" w:rsidRDefault="0004328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28A" w:rsidRDefault="0004328A">
                  <w:pPr>
                    <w:spacing w:line="1" w:lineRule="auto"/>
                  </w:pPr>
                </w:p>
              </w:tc>
            </w:tr>
          </w:tbl>
          <w:p w:rsidR="0004328A" w:rsidRDefault="0004328A">
            <w:pPr>
              <w:spacing w:line="1" w:lineRule="auto"/>
            </w:pPr>
          </w:p>
        </w:tc>
      </w:tr>
      <w:tr w:rsidR="0004328A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525596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</w:tr>
      <w:tr w:rsidR="0004328A"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118"/>
            </w:tblGrid>
            <w:tr w:rsidR="0004328A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28A" w:rsidRDefault="00525596">
                  <w:r>
                    <w:rPr>
                      <w:color w:val="000000"/>
                      <w:sz w:val="28"/>
                      <w:szCs w:val="28"/>
                    </w:rPr>
                    <w:t>Главный бухгалтер</w:t>
                  </w:r>
                </w:p>
              </w:tc>
            </w:tr>
          </w:tbl>
          <w:p w:rsidR="0004328A" w:rsidRDefault="0004328A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525596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685"/>
            </w:tblGrid>
            <w:tr w:rsidR="0004328A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28A" w:rsidRDefault="00525596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Мисник Надежда Владимировна</w:t>
                  </w:r>
                </w:p>
              </w:tc>
            </w:tr>
          </w:tbl>
          <w:p w:rsidR="0004328A" w:rsidRDefault="0004328A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</w:tr>
      <w:tr w:rsidR="0004328A"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525596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</w:tr>
      <w:tr w:rsidR="0004328A">
        <w:trPr>
          <w:trHeight w:val="230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04328A">
              <w:trPr>
                <w:trHeight w:val="322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4328A" w:rsidRDefault="00525596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ДОКУМЕНТ ПОДПИСАН ЭЛЕКТРОННОЙ ПОДПИСЬЮ</w:t>
                  </w:r>
                </w:p>
              </w:tc>
            </w:tr>
            <w:tr w:rsidR="0004328A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4328A" w:rsidRDefault="0004328A">
                  <w:pPr>
                    <w:spacing w:line="1" w:lineRule="auto"/>
                  </w:pPr>
                </w:p>
              </w:tc>
            </w:tr>
            <w:tr w:rsidR="0004328A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015"/>
                  </w:tblGrid>
                  <w:tr w:rsidR="0004328A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4328A" w:rsidRDefault="00525596"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 xml:space="preserve">Сертификат: </w:t>
                        </w:r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lastRenderedPageBreak/>
                          <w:t>0F1B090F0870E6A410D1A3FADD80EFD2E5E054D4</w:t>
                        </w:r>
                      </w:p>
                      <w:p w:rsidR="0004328A" w:rsidRDefault="00525596"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Владелец: Мисник Надежда Владимировна</w:t>
                        </w:r>
                      </w:p>
                      <w:p w:rsidR="0004328A" w:rsidRDefault="00525596"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Действителен с 16.11.2021 по 16.02.2023</w:t>
                        </w:r>
                      </w:p>
                      <w:p w:rsidR="0004328A" w:rsidRDefault="00525596"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Дата подписания: 01.02.2022</w:t>
                        </w:r>
                      </w:p>
                    </w:tc>
                  </w:tr>
                </w:tbl>
                <w:p w:rsidR="0004328A" w:rsidRDefault="0004328A">
                  <w:pPr>
                    <w:spacing w:line="1" w:lineRule="auto"/>
                  </w:pPr>
                </w:p>
              </w:tc>
            </w:tr>
            <w:tr w:rsidR="0004328A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28A" w:rsidRDefault="0004328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28A" w:rsidRDefault="0004328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28A" w:rsidRDefault="0004328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28A" w:rsidRDefault="0004328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28A" w:rsidRDefault="0004328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28A" w:rsidRDefault="0004328A">
                  <w:pPr>
                    <w:spacing w:line="1" w:lineRule="auto"/>
                  </w:pPr>
                </w:p>
              </w:tc>
            </w:tr>
          </w:tbl>
          <w:p w:rsidR="0004328A" w:rsidRDefault="0004328A">
            <w:pPr>
              <w:spacing w:line="1" w:lineRule="auto"/>
            </w:pPr>
          </w:p>
        </w:tc>
      </w:tr>
      <w:tr w:rsidR="0004328A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525596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</w:tr>
      <w:tr w:rsidR="0004328A"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118"/>
            </w:tblGrid>
            <w:tr w:rsidR="0004328A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28A" w:rsidRDefault="00525596">
                  <w:r>
                    <w:rPr>
                      <w:color w:val="000000"/>
                      <w:sz w:val="28"/>
                      <w:szCs w:val="28"/>
                    </w:rPr>
                    <w:t>Главный бухгалтер</w:t>
                  </w:r>
                </w:p>
              </w:tc>
            </w:tr>
          </w:tbl>
          <w:p w:rsidR="0004328A" w:rsidRDefault="0004328A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525596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685"/>
            </w:tblGrid>
            <w:tr w:rsidR="0004328A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28A" w:rsidRDefault="00525596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Мисник Надежда Владимировна</w:t>
                  </w:r>
                </w:p>
              </w:tc>
            </w:tr>
          </w:tbl>
          <w:p w:rsidR="0004328A" w:rsidRDefault="0004328A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</w:tr>
      <w:tr w:rsidR="0004328A"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525596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</w:tr>
      <w:tr w:rsidR="0004328A">
        <w:trPr>
          <w:trHeight w:val="230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04328A">
              <w:trPr>
                <w:trHeight w:val="322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4328A" w:rsidRDefault="00525596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ДОКУМЕНТ ПОДПИСАН ЭЛЕКТРОННОЙ ПОДПИСЬЮ</w:t>
                  </w:r>
                </w:p>
              </w:tc>
            </w:tr>
            <w:tr w:rsidR="0004328A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4328A" w:rsidRDefault="0004328A">
                  <w:pPr>
                    <w:spacing w:line="1" w:lineRule="auto"/>
                  </w:pPr>
                </w:p>
              </w:tc>
            </w:tr>
            <w:tr w:rsidR="0004328A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015"/>
                  </w:tblGrid>
                  <w:tr w:rsidR="0004328A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4328A" w:rsidRDefault="00525596">
                        <w:r>
                          <w:rPr>
                            <w:color w:val="000000"/>
                          </w:rPr>
                          <w:t>Сертификат: 0F1B090F0870E6A410D1A3FADD80EFD2E5E054D4</w:t>
                        </w:r>
                      </w:p>
                      <w:p w:rsidR="0004328A" w:rsidRDefault="00525596">
                        <w:r>
                          <w:rPr>
                            <w:color w:val="000000"/>
                          </w:rPr>
                          <w:t>Владелец: Мисник Надежда Владимировна</w:t>
                        </w:r>
                      </w:p>
                      <w:p w:rsidR="0004328A" w:rsidRDefault="00525596">
                        <w:r>
                          <w:rPr>
                            <w:color w:val="000000"/>
                          </w:rPr>
                          <w:t>Действителен с 16.11.2021 по 16.02.2023</w:t>
                        </w:r>
                      </w:p>
                      <w:p w:rsidR="0004328A" w:rsidRDefault="00525596">
                        <w:r>
                          <w:rPr>
                            <w:color w:val="000000"/>
                          </w:rPr>
                          <w:t>Дата подписания: 01.02.2022</w:t>
                        </w:r>
                      </w:p>
                    </w:tc>
                  </w:tr>
                </w:tbl>
                <w:p w:rsidR="0004328A" w:rsidRDefault="0004328A">
                  <w:pPr>
                    <w:spacing w:line="1" w:lineRule="auto"/>
                  </w:pPr>
                </w:p>
              </w:tc>
            </w:tr>
            <w:tr w:rsidR="0004328A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28A" w:rsidRDefault="0004328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28A" w:rsidRDefault="0004328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28A" w:rsidRDefault="0004328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28A" w:rsidRDefault="0004328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28A" w:rsidRDefault="0004328A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28A" w:rsidRDefault="0004328A">
                  <w:pPr>
                    <w:spacing w:line="1" w:lineRule="auto"/>
                  </w:pPr>
                </w:p>
              </w:tc>
            </w:tr>
          </w:tbl>
          <w:p w:rsidR="0004328A" w:rsidRDefault="0004328A">
            <w:pPr>
              <w:spacing w:line="1" w:lineRule="auto"/>
            </w:pPr>
          </w:p>
        </w:tc>
      </w:tr>
      <w:tr w:rsidR="0004328A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328A" w:rsidRDefault="0004328A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525596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</w:tr>
      <w:tr w:rsidR="0004328A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525596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</w:tr>
      <w:tr w:rsidR="0004328A">
        <w:tc>
          <w:tcPr>
            <w:tcW w:w="9806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806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9806"/>
            </w:tblGrid>
            <w:tr w:rsidR="0004328A">
              <w:tc>
                <w:tcPr>
                  <w:tcW w:w="9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28A" w:rsidRDefault="00525596">
                  <w:r>
                    <w:rPr>
                      <w:color w:val="000000"/>
                      <w:sz w:val="28"/>
                      <w:szCs w:val="28"/>
                    </w:rPr>
                    <w:t>3 марта 2022 г.</w:t>
                  </w:r>
                </w:p>
              </w:tc>
            </w:tr>
          </w:tbl>
          <w:p w:rsidR="0004328A" w:rsidRDefault="0004328A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</w:tr>
    </w:tbl>
    <w:p w:rsidR="0004328A" w:rsidRDefault="0004328A">
      <w:pPr>
        <w:sectPr w:rsidR="0004328A">
          <w:headerReference w:type="default" r:id="rId6"/>
          <w:footerReference w:type="default" r:id="rId7"/>
          <w:pgSz w:w="11905" w:h="16837"/>
          <w:pgMar w:top="1133" w:right="566" w:bottom="1133" w:left="1133" w:header="1133" w:footer="1133" w:gutter="0"/>
          <w:cols w:space="720"/>
        </w:sectPr>
      </w:pPr>
    </w:p>
    <w:p w:rsidR="0004328A" w:rsidRDefault="0004328A">
      <w:pPr>
        <w:rPr>
          <w:vanish/>
        </w:rPr>
      </w:pPr>
      <w:bookmarkStart w:id="3" w:name="__bookmark_9"/>
      <w:bookmarkEnd w:id="3"/>
    </w:p>
    <w:tbl>
      <w:tblPr>
        <w:tblOverlap w:val="never"/>
        <w:tblW w:w="10206" w:type="dxa"/>
        <w:tblLayout w:type="fixed"/>
        <w:tblLook w:val="01E0"/>
      </w:tblPr>
      <w:tblGrid>
        <w:gridCol w:w="56"/>
        <w:gridCol w:w="3290"/>
        <w:gridCol w:w="56"/>
        <w:gridCol w:w="56"/>
        <w:gridCol w:w="3290"/>
        <w:gridCol w:w="56"/>
        <w:gridCol w:w="56"/>
        <w:gridCol w:w="3290"/>
        <w:gridCol w:w="56"/>
      </w:tblGrid>
      <w:tr w:rsidR="0004328A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  <w:jc w:val="center"/>
            </w:pP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  <w:jc w:val="center"/>
            </w:pP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  <w:jc w:val="center"/>
            </w:pP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52559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Таблица №3</w:t>
            </w: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  <w:jc w:val="center"/>
            </w:pPr>
          </w:p>
        </w:tc>
      </w:tr>
      <w:tr w:rsidR="0004328A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  <w:jc w:val="center"/>
            </w:pPr>
          </w:p>
        </w:tc>
        <w:tc>
          <w:tcPr>
            <w:tcW w:w="10094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5255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Сведения об исполнении текстовых статей</w:t>
            </w:r>
            <w:r>
              <w:rPr>
                <w:b/>
                <w:bCs/>
                <w:color w:val="000000"/>
                <w:sz w:val="16"/>
                <w:szCs w:val="16"/>
              </w:rPr>
              <w:br/>
              <w:t>закона (решений) о бюджете</w:t>
            </w: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  <w:jc w:val="center"/>
            </w:pPr>
          </w:p>
        </w:tc>
      </w:tr>
      <w:tr w:rsidR="0004328A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52559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  <w:jc w:val="center"/>
            </w:pP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  <w:jc w:val="center"/>
            </w:pP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  <w:jc w:val="center"/>
            </w:pPr>
          </w:p>
        </w:tc>
      </w:tr>
      <w:tr w:rsidR="0004328A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  <w:jc w:val="center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52559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Содержание статьи закона (решения) о бюджете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  <w:jc w:val="center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52559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Результат исполнения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  <w:jc w:val="center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52559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Причины неисполнения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  <w:jc w:val="center"/>
            </w:pPr>
          </w:p>
        </w:tc>
      </w:tr>
      <w:tr w:rsidR="0004328A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  <w:jc w:val="center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52559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  <w:jc w:val="center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52559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  <w:jc w:val="center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52559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  <w:jc w:val="center"/>
            </w:pPr>
          </w:p>
        </w:tc>
      </w:tr>
      <w:tr w:rsidR="0004328A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52559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Статья 2.Администрирование доходов районного бюджета безвозмездных поступлений.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52559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Утверждено бюджетных назначений 198970624,87 руб, исполнено 198046928,05 руб, исполнение по МБТ, полученным из других бюджетов в районный бюджет составило 107950310,87 руб.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</w:tr>
      <w:tr w:rsidR="0004328A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52559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Статья 3. Бюджетные ассигнования районного бюджета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52559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Первоначальные ассигнования доведены в объеме 70665308,17 руб., объем уточненных ассигнований составил 19897624,87 руб.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</w:tr>
      <w:tr w:rsidR="0004328A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52559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Статья 4. Особенности использования бюджетных ассигнований по обеспечению деятельности органов местного самоуправления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52559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Численность муниципальных служащих в 2021г.  составила 36 ед.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</w:tr>
      <w:tr w:rsidR="0004328A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52559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Статья 9.Авансирование расходных обязательств получателей средств районного бюджета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52559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Авансовые платежи при заключении договоров предусматривались с учетом требований данной статьи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</w:tr>
      <w:tr w:rsidR="0004328A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52559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Статья 10. Особенности обслуживания лицевых счетов получателей средств районного бюджета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52559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Операции со средствами, поступающими во временное распоряжение администрации учитываются на лицевом счете, открытом ему в УФК по Омской области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</w:tr>
      <w:tr w:rsidR="0004328A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52559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328A" w:rsidRDefault="0004328A">
            <w:pPr>
              <w:spacing w:line="1" w:lineRule="auto"/>
            </w:pPr>
          </w:p>
        </w:tc>
      </w:tr>
    </w:tbl>
    <w:p w:rsidR="00525596" w:rsidRDefault="00525596"/>
    <w:sectPr w:rsidR="00525596" w:rsidSect="0004328A">
      <w:headerReference w:type="default" r:id="rId8"/>
      <w:footerReference w:type="default" r:id="rId9"/>
      <w:pgSz w:w="11905" w:h="16837"/>
      <w:pgMar w:top="1133" w:right="566" w:bottom="1133" w:left="1133" w:header="1133" w:footer="113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5596" w:rsidRDefault="00525596" w:rsidP="0004328A">
      <w:r>
        <w:separator/>
      </w:r>
    </w:p>
  </w:endnote>
  <w:endnote w:type="continuationSeparator" w:id="1">
    <w:p w:rsidR="00525596" w:rsidRDefault="00525596" w:rsidP="000432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04328A">
      <w:trPr>
        <w:trHeight w:val="56"/>
      </w:trPr>
      <w:tc>
        <w:tcPr>
          <w:tcW w:w="10421" w:type="dxa"/>
        </w:tcPr>
        <w:p w:rsidR="0004328A" w:rsidRDefault="0004328A">
          <w:pPr>
            <w:spacing w:line="1" w:lineRule="auto"/>
          </w:pPr>
        </w:p>
      </w:tc>
    </w:tr>
  </w:tbl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04328A">
      <w:trPr>
        <w:trHeight w:val="56"/>
      </w:trPr>
      <w:tc>
        <w:tcPr>
          <w:tcW w:w="10421" w:type="dxa"/>
        </w:tcPr>
        <w:p w:rsidR="0004328A" w:rsidRDefault="0004328A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5596" w:rsidRDefault="00525596" w:rsidP="0004328A">
      <w:r>
        <w:separator/>
      </w:r>
    </w:p>
  </w:footnote>
  <w:footnote w:type="continuationSeparator" w:id="1">
    <w:p w:rsidR="00525596" w:rsidRDefault="00525596" w:rsidP="000432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04328A">
      <w:trPr>
        <w:trHeight w:val="56"/>
      </w:trPr>
      <w:tc>
        <w:tcPr>
          <w:tcW w:w="10421" w:type="dxa"/>
        </w:tcPr>
        <w:p w:rsidR="0004328A" w:rsidRDefault="0004328A">
          <w:pPr>
            <w:spacing w:line="1" w:lineRule="auto"/>
          </w:pPr>
        </w:p>
      </w:tc>
    </w:tr>
  </w:tbl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21" w:type="dxa"/>
      <w:tblLayout w:type="fixed"/>
      <w:tblLook w:val="01E0"/>
    </w:tblPr>
    <w:tblGrid>
      <w:gridCol w:w="10421"/>
    </w:tblGrid>
    <w:tr w:rsidR="0004328A">
      <w:trPr>
        <w:trHeight w:val="56"/>
      </w:trPr>
      <w:tc>
        <w:tcPr>
          <w:tcW w:w="10421" w:type="dxa"/>
        </w:tcPr>
        <w:p w:rsidR="0004328A" w:rsidRDefault="0004328A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328A"/>
    <w:rsid w:val="0004328A"/>
    <w:rsid w:val="00525596"/>
    <w:rsid w:val="006A1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4328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1161</Words>
  <Characters>6623</Characters>
  <Application>Microsoft Office Word</Application>
  <DocSecurity>0</DocSecurity>
  <Lines>55</Lines>
  <Paragraphs>15</Paragraphs>
  <ScaleCrop>false</ScaleCrop>
  <Company/>
  <LinksUpToDate>false</LinksUpToDate>
  <CharactersWithSpaces>7769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misnik</dc:creator>
  <cp:lastModifiedBy>misnik</cp:lastModifiedBy>
  <cp:revision>2</cp:revision>
  <dcterms:created xsi:type="dcterms:W3CDTF">2022-03-03T09:25:00Z</dcterms:created>
  <dcterms:modified xsi:type="dcterms:W3CDTF">2022-03-03T09:25:00Z</dcterms:modified>
</cp:coreProperties>
</file>