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7B0E69" w:rsidP="00B17F4C">
      <w:pPr>
        <w:ind w:left="3539" w:firstLine="709"/>
        <w:jc w:val="right"/>
        <w:rPr>
          <w:b/>
          <w:sz w:val="28"/>
          <w:szCs w:val="28"/>
        </w:rPr>
      </w:pPr>
      <w:r w:rsidRPr="000E6877">
        <w:rPr>
          <w:rFonts w:ascii="Arial" w:hAnsi="Arial" w:cs="Arial"/>
          <w:noProof/>
        </w:rPr>
        <w:drawing>
          <wp:anchor distT="0" distB="0" distL="114300" distR="114300" simplePos="0" relativeHeight="251659264" behindDoc="0" locked="0" layoutInCell="1" allowOverlap="1" wp14:anchorId="088E346E" wp14:editId="527E043A">
            <wp:simplePos x="0" y="0"/>
            <wp:positionH relativeFrom="column">
              <wp:posOffset>2836545</wp:posOffset>
            </wp:positionH>
            <wp:positionV relativeFrom="paragraph">
              <wp:posOffset>-55880</wp:posOffset>
            </wp:positionV>
            <wp:extent cx="563880" cy="906780"/>
            <wp:effectExtent l="0" t="0" r="7620" b="7620"/>
            <wp:wrapNone/>
            <wp:docPr id="10" name="Рисунок 10"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D3A">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1D4576">
        <w:rPr>
          <w:sz w:val="28"/>
          <w:szCs w:val="28"/>
        </w:rPr>
        <w:t>2</w:t>
      </w:r>
      <w:r w:rsidR="001251D1">
        <w:rPr>
          <w:sz w:val="28"/>
          <w:szCs w:val="28"/>
        </w:rPr>
        <w:t>3</w:t>
      </w:r>
      <w:r>
        <w:rPr>
          <w:sz w:val="28"/>
          <w:szCs w:val="28"/>
        </w:rPr>
        <w:t>.0</w:t>
      </w:r>
      <w:r w:rsidR="001251D1">
        <w:rPr>
          <w:sz w:val="28"/>
          <w:szCs w:val="28"/>
        </w:rPr>
        <w:t>4</w:t>
      </w:r>
      <w:r>
        <w:rPr>
          <w:sz w:val="28"/>
          <w:szCs w:val="28"/>
        </w:rPr>
        <w:t xml:space="preserve">.2021 года № </w:t>
      </w:r>
      <w:proofErr w:type="gramStart"/>
      <w:r>
        <w:rPr>
          <w:sz w:val="28"/>
          <w:szCs w:val="28"/>
        </w:rPr>
        <w:t>-Р</w:t>
      </w:r>
      <w:proofErr w:type="gramEnd"/>
      <w:r>
        <w:rPr>
          <w:sz w:val="28"/>
          <w:szCs w:val="28"/>
        </w:rPr>
        <w:t>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1251D1">
        <w:rPr>
          <w:sz w:val="28"/>
        </w:rPr>
        <w:t>1 001 3</w:t>
      </w:r>
      <w:r w:rsidR="00A52524">
        <w:rPr>
          <w:sz w:val="28"/>
        </w:rPr>
        <w:t>1</w:t>
      </w:r>
      <w:r w:rsidR="001251D1">
        <w:rPr>
          <w:sz w:val="28"/>
        </w:rPr>
        <w:t>6 233,41</w:t>
      </w:r>
      <w:r w:rsidR="00F471BA">
        <w:rPr>
          <w:sz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1251D1">
        <w:rPr>
          <w:sz w:val="28"/>
        </w:rPr>
        <w:t>1 026 5</w:t>
      </w:r>
      <w:r w:rsidR="00A52524">
        <w:rPr>
          <w:sz w:val="28"/>
        </w:rPr>
        <w:t>2</w:t>
      </w:r>
      <w:bookmarkStart w:id="0" w:name="_GoBack"/>
      <w:bookmarkEnd w:id="0"/>
      <w:r w:rsidR="001251D1">
        <w:rPr>
          <w:sz w:val="28"/>
        </w:rPr>
        <w:t>7 329,02</w:t>
      </w:r>
      <w:r w:rsidR="00CA52AC">
        <w:rPr>
          <w:sz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дефицит районного бюджета в сумме 25</w:t>
      </w:r>
      <w:r w:rsidR="001C6DBF">
        <w:rPr>
          <w:sz w:val="28"/>
        </w:rPr>
        <w:t> 211 095,61</w:t>
      </w:r>
      <w:r w:rsidR="009D17B9">
        <w:rPr>
          <w:sz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CA52AC">
        <w:rPr>
          <w:sz w:val="28"/>
        </w:rPr>
        <w:t>740 592 384,26</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CA52AC">
        <w:rPr>
          <w:sz w:val="28"/>
        </w:rPr>
        <w:t xml:space="preserve">702 392 803,32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CA52AC">
        <w:rPr>
          <w:sz w:val="28"/>
        </w:rPr>
        <w:t xml:space="preserve">740 592 384,26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CA52AC">
        <w:rPr>
          <w:sz w:val="28"/>
        </w:rPr>
        <w:t xml:space="preserve">702 392 803,32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lastRenderedPageBreak/>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w:t>
      </w:r>
      <w:r w:rsidR="001251D1">
        <w:rPr>
          <w:sz w:val="28"/>
        </w:rPr>
        <w:t>30</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w:t>
      </w:r>
      <w:r w:rsidR="00277D8E" w:rsidRPr="00B81D3A">
        <w:rPr>
          <w:sz w:val="28"/>
          <w:szCs w:val="28"/>
        </w:rPr>
        <w:lastRenderedPageBreak/>
        <w:t>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F4465A">
        <w:rPr>
          <w:sz w:val="28"/>
        </w:rPr>
        <w:t xml:space="preserve">85 168 248,00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lastRenderedPageBreak/>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lastRenderedPageBreak/>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0E7620">
        <w:rPr>
          <w:sz w:val="28"/>
        </w:rPr>
        <w:t>816 106,</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w:t>
      </w:r>
      <w:r w:rsidR="00C80E4A">
        <w:rPr>
          <w:color w:val="000000" w:themeColor="text1"/>
          <w:sz w:val="28"/>
          <w:szCs w:val="28"/>
        </w:rPr>
        <w:lastRenderedPageBreak/>
        <w:t xml:space="preserve">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F471BA">
        <w:rPr>
          <w:sz w:val="28"/>
        </w:rPr>
        <w:t>7</w:t>
      </w:r>
      <w:r w:rsidR="001251D1">
        <w:rPr>
          <w:sz w:val="28"/>
        </w:rPr>
        <w:t>38 925 748,46</w:t>
      </w:r>
      <w:r w:rsidR="00F4465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F4465A">
        <w:rPr>
          <w:sz w:val="28"/>
          <w:szCs w:val="28"/>
        </w:rPr>
        <w:t xml:space="preserve">488 382 310,52 </w:t>
      </w:r>
      <w:r w:rsidR="00EE21FE">
        <w:rPr>
          <w:sz w:val="28"/>
          <w:szCs w:val="28"/>
        </w:rPr>
        <w:t>рублей, на 20</w:t>
      </w:r>
      <w:r w:rsidR="00DD3E97">
        <w:rPr>
          <w:sz w:val="28"/>
          <w:szCs w:val="28"/>
        </w:rPr>
        <w:t>2</w:t>
      </w:r>
      <w:r w:rsidR="00721362">
        <w:rPr>
          <w:sz w:val="28"/>
          <w:szCs w:val="28"/>
        </w:rPr>
        <w:t>3</w:t>
      </w:r>
      <w:r w:rsidR="00EE21FE">
        <w:rPr>
          <w:sz w:val="28"/>
          <w:szCs w:val="28"/>
        </w:rPr>
        <w:t xml:space="preserve"> год в размере </w:t>
      </w:r>
      <w:r w:rsidR="00F4465A">
        <w:rPr>
          <w:sz w:val="28"/>
          <w:szCs w:val="28"/>
        </w:rPr>
        <w:t xml:space="preserve">435 577 599,78 </w:t>
      </w:r>
      <w:r w:rsidR="00EE21FE">
        <w:rPr>
          <w:sz w:val="28"/>
          <w:szCs w:val="28"/>
        </w:rPr>
        <w:t>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94391C">
        <w:rPr>
          <w:sz w:val="28"/>
        </w:rPr>
        <w:t>54 498 636,29</w:t>
      </w:r>
      <w:r w:rsidR="00F4465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lastRenderedPageBreak/>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sidR="00507C29" w:rsidRPr="004B3B32">
        <w:rPr>
          <w:color w:val="000000" w:themeColor="text1"/>
          <w:sz w:val="28"/>
          <w:szCs w:val="28"/>
        </w:rPr>
        <w:lastRenderedPageBreak/>
        <w:t>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w:t>
      </w:r>
      <w:r w:rsidR="002B7CFC">
        <w:rPr>
          <w:color w:val="000000" w:themeColor="text1"/>
          <w:sz w:val="28"/>
          <w:szCs w:val="28"/>
        </w:rPr>
        <w:lastRenderedPageBreak/>
        <w:t xml:space="preserve">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A52524">
      <w:rPr>
        <w:rStyle w:val="a5"/>
        <w:noProof/>
        <w:sz w:val="28"/>
        <w:szCs w:val="28"/>
      </w:rPr>
      <w:t>10</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1D1"/>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4576"/>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0E69"/>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91C"/>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1ACE"/>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524"/>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2AC"/>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5A"/>
    <w:rsid w:val="00F446B0"/>
    <w:rsid w:val="00F44A9E"/>
    <w:rsid w:val="00F451DF"/>
    <w:rsid w:val="00F45322"/>
    <w:rsid w:val="00F46174"/>
    <w:rsid w:val="00F466E1"/>
    <w:rsid w:val="00F46825"/>
    <w:rsid w:val="00F46BD1"/>
    <w:rsid w:val="00F46EE1"/>
    <w:rsid w:val="00F471BA"/>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2ACF-6443-469D-BCCD-E88B4EDDE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2513</TotalTime>
  <Pages>10</Pages>
  <Words>3178</Words>
  <Characters>18115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137</cp:revision>
  <cp:lastPrinted>2018-10-29T10:06:00Z</cp:lastPrinted>
  <dcterms:created xsi:type="dcterms:W3CDTF">2017-10-31T04:55:00Z</dcterms:created>
  <dcterms:modified xsi:type="dcterms:W3CDTF">2021-04-20T08:44:00Z</dcterms:modified>
</cp:coreProperties>
</file>