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1F5422">
        <w:rPr>
          <w:sz w:val="28"/>
          <w:szCs w:val="28"/>
        </w:rPr>
        <w:t>2</w:t>
      </w:r>
      <w:r w:rsidR="00A40DF1">
        <w:rPr>
          <w:sz w:val="28"/>
          <w:szCs w:val="28"/>
        </w:rPr>
        <w:t>8</w:t>
      </w:r>
      <w:r>
        <w:rPr>
          <w:sz w:val="28"/>
          <w:szCs w:val="28"/>
        </w:rPr>
        <w:t>.</w:t>
      </w:r>
      <w:r w:rsidR="00A40DF1">
        <w:rPr>
          <w:sz w:val="28"/>
          <w:szCs w:val="28"/>
        </w:rPr>
        <w:t>1</w:t>
      </w:r>
      <w:r>
        <w:rPr>
          <w:sz w:val="28"/>
          <w:szCs w:val="28"/>
        </w:rPr>
        <w:t xml:space="preserve">0.2021 года № </w:t>
      </w:r>
      <w:r w:rsidR="00114C17">
        <w:rPr>
          <w:sz w:val="28"/>
          <w:szCs w:val="28"/>
        </w:rPr>
        <w:t>49</w:t>
      </w:r>
      <w:bookmarkStart w:id="0" w:name="_GoBack"/>
      <w:bookmarkEnd w:id="0"/>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5F0681">
        <w:rPr>
          <w:sz w:val="28"/>
        </w:rPr>
        <w:t xml:space="preserve">1 071 459 027,94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F4FC2">
        <w:rPr>
          <w:sz w:val="28"/>
          <w:szCs w:val="28"/>
        </w:rPr>
        <w:t xml:space="preserve">          </w:t>
      </w:r>
      <w:r w:rsidR="005F0681">
        <w:rPr>
          <w:sz w:val="28"/>
        </w:rPr>
        <w:t xml:space="preserve">1 096 670 123,55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CA52AC">
        <w:rPr>
          <w:sz w:val="28"/>
        </w:rPr>
        <w:t>740 592 384,26</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CA52AC">
        <w:rPr>
          <w:sz w:val="28"/>
        </w:rPr>
        <w:t xml:space="preserve">702 392 803,32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CA52AC">
        <w:rPr>
          <w:sz w:val="28"/>
        </w:rPr>
        <w:t xml:space="preserve">740 592 384,26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CA52AC">
        <w:rPr>
          <w:sz w:val="28"/>
        </w:rPr>
        <w:t xml:space="preserve">702 392 803,32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w:t>
      </w:r>
      <w:r w:rsidR="001251D1">
        <w:rPr>
          <w:sz w:val="28"/>
        </w:rPr>
        <w:t>30</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A40DF1">
        <w:rPr>
          <w:sz w:val="28"/>
        </w:rPr>
        <w:t xml:space="preserve">85 167 850,00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BF03DD">
        <w:rPr>
          <w:sz w:val="28"/>
        </w:rPr>
        <w:t xml:space="preserve">793 032 365,52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F4465A">
        <w:rPr>
          <w:sz w:val="28"/>
          <w:szCs w:val="28"/>
        </w:rPr>
        <w:t xml:space="preserve">488 382 310,52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F4465A">
        <w:rPr>
          <w:sz w:val="28"/>
          <w:szCs w:val="28"/>
        </w:rPr>
        <w:t xml:space="preserve">435 577 599,78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A40DF1">
        <w:rPr>
          <w:sz w:val="28"/>
        </w:rPr>
        <w:t xml:space="preserve">54 537 529,26 </w:t>
      </w:r>
      <w:r w:rsidR="003A5DFC">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DF1" w:rsidRDefault="00A40DF1" w:rsidP="00DA2E2B">
      <w:r>
        <w:separator/>
      </w:r>
    </w:p>
  </w:endnote>
  <w:endnote w:type="continuationSeparator" w:id="0">
    <w:p w:rsidR="00A40DF1" w:rsidRDefault="00A40DF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DF1" w:rsidRDefault="00A40DF1" w:rsidP="00DA2E2B">
      <w:r>
        <w:separator/>
      </w:r>
    </w:p>
  </w:footnote>
  <w:footnote w:type="continuationSeparator" w:id="0">
    <w:p w:rsidR="00A40DF1" w:rsidRDefault="00A40DF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DF1" w:rsidRDefault="00A40DF1"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40DF1" w:rsidRDefault="00A40DF1"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DF1" w:rsidRPr="00DA2E2B" w:rsidRDefault="00A40DF1"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14C17">
      <w:rPr>
        <w:rStyle w:val="a5"/>
        <w:noProof/>
        <w:sz w:val="28"/>
        <w:szCs w:val="28"/>
      </w:rPr>
      <w:t>2</w:t>
    </w:r>
    <w:r w:rsidRPr="00DA2E2B">
      <w:rPr>
        <w:rStyle w:val="a5"/>
        <w:sz w:val="28"/>
        <w:szCs w:val="28"/>
      </w:rPr>
      <w:fldChar w:fldCharType="end"/>
    </w:r>
  </w:p>
  <w:p w:rsidR="00A40DF1" w:rsidRDefault="00A40DF1"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0791"/>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1030"/>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C17"/>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1D1"/>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677FA"/>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5422"/>
    <w:rsid w:val="001F681D"/>
    <w:rsid w:val="001F7100"/>
    <w:rsid w:val="002002EB"/>
    <w:rsid w:val="00200632"/>
    <w:rsid w:val="002006CC"/>
    <w:rsid w:val="00200ABB"/>
    <w:rsid w:val="00200DC7"/>
    <w:rsid w:val="00202968"/>
    <w:rsid w:val="002039C9"/>
    <w:rsid w:val="00204498"/>
    <w:rsid w:val="0020453F"/>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1F6"/>
    <w:rsid w:val="002A3C12"/>
    <w:rsid w:val="002A3E0A"/>
    <w:rsid w:val="002A6570"/>
    <w:rsid w:val="002A66C2"/>
    <w:rsid w:val="002A693B"/>
    <w:rsid w:val="002A6BFA"/>
    <w:rsid w:val="002B0977"/>
    <w:rsid w:val="002B1B53"/>
    <w:rsid w:val="002B2931"/>
    <w:rsid w:val="002B2CEE"/>
    <w:rsid w:val="002B402C"/>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032"/>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5DFC"/>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4FC2"/>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2DB5"/>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DC1"/>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0681"/>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6DB"/>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5A8D"/>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222"/>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8CD"/>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91C"/>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63B"/>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0DF1"/>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524"/>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3DD"/>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0CA"/>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1E8E"/>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661"/>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541"/>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5B4"/>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EB5BC-D29D-4AE1-91D3-55E4D778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2562</TotalTime>
  <Pages>10</Pages>
  <Words>3180</Words>
  <Characters>18126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162</cp:revision>
  <cp:lastPrinted>2018-10-29T10:06:00Z</cp:lastPrinted>
  <dcterms:created xsi:type="dcterms:W3CDTF">2017-10-31T04:55:00Z</dcterms:created>
  <dcterms:modified xsi:type="dcterms:W3CDTF">2021-10-27T10:15:00Z</dcterms:modified>
</cp:coreProperties>
</file>