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D52F8D">
        <w:rPr>
          <w:sz w:val="28"/>
          <w:szCs w:val="28"/>
        </w:rPr>
        <w:t>1</w:t>
      </w:r>
      <w:r w:rsidR="005E6C25">
        <w:rPr>
          <w:sz w:val="28"/>
          <w:szCs w:val="28"/>
        </w:rPr>
        <w:t>7</w:t>
      </w:r>
      <w:r>
        <w:rPr>
          <w:sz w:val="28"/>
          <w:szCs w:val="28"/>
        </w:rPr>
        <w:t>.</w:t>
      </w:r>
      <w:r w:rsidR="00A40DF1">
        <w:rPr>
          <w:sz w:val="28"/>
          <w:szCs w:val="28"/>
        </w:rPr>
        <w:t>1</w:t>
      </w:r>
      <w:r w:rsidR="00D52F8D">
        <w:rPr>
          <w:sz w:val="28"/>
          <w:szCs w:val="28"/>
        </w:rPr>
        <w:t>2</w:t>
      </w:r>
      <w:r>
        <w:rPr>
          <w:sz w:val="28"/>
          <w:szCs w:val="28"/>
        </w:rPr>
        <w:t xml:space="preserve">.2021 года № </w:t>
      </w:r>
      <w:r w:rsidR="005E6C25">
        <w:rPr>
          <w:sz w:val="28"/>
          <w:szCs w:val="28"/>
        </w:rPr>
        <w:t>72</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565BAB">
        <w:rPr>
          <w:sz w:val="28"/>
        </w:rPr>
        <w:t xml:space="preserve">1 088 064 548,81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69027A">
        <w:rPr>
          <w:sz w:val="28"/>
          <w:szCs w:val="28"/>
        </w:rPr>
        <w:t xml:space="preserve">               </w:t>
      </w:r>
      <w:r w:rsidR="004F4FC2">
        <w:rPr>
          <w:sz w:val="28"/>
          <w:szCs w:val="28"/>
        </w:rPr>
        <w:t xml:space="preserve">   </w:t>
      </w:r>
      <w:r w:rsidR="00565BAB">
        <w:rPr>
          <w:sz w:val="28"/>
        </w:rPr>
        <w:t xml:space="preserve">1 109 461 564,31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 xml:space="preserve">дефицит районного бюджета в сумме </w:t>
      </w:r>
      <w:r w:rsidR="00565BAB">
        <w:rPr>
          <w:sz w:val="28"/>
        </w:rPr>
        <w:t xml:space="preserve">21 397 015,50 </w:t>
      </w:r>
      <w:r w:rsidR="009D17B9">
        <w:rPr>
          <w:sz w:val="28"/>
        </w:rPr>
        <w:t>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69027A">
        <w:rPr>
          <w:sz w:val="28"/>
        </w:rPr>
        <w:t xml:space="preserve">774 788 924,26 </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69027A">
        <w:rPr>
          <w:sz w:val="28"/>
        </w:rPr>
        <w:t>736 513 972,32</w:t>
      </w:r>
      <w:r w:rsidR="00CA52AC">
        <w:rPr>
          <w:sz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69027A">
        <w:rPr>
          <w:sz w:val="28"/>
        </w:rPr>
        <w:t xml:space="preserve">774 788 924,26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69027A">
        <w:rPr>
          <w:sz w:val="28"/>
        </w:rPr>
        <w:t xml:space="preserve">736 513 972,32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6</w:t>
      </w:r>
      <w:r w:rsidR="0069027A">
        <w:rPr>
          <w:sz w:val="28"/>
          <w:szCs w:val="28"/>
        </w:rPr>
        <w:t> 208 540</w:t>
      </w:r>
      <w:r w:rsidR="004577FF">
        <w:rPr>
          <w:sz w:val="28"/>
          <w:szCs w:val="28"/>
        </w:rPr>
        <w:t xml:space="preserve">,00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565BAB">
        <w:rPr>
          <w:sz w:val="28"/>
        </w:rPr>
        <w:t xml:space="preserve">85 828 104,54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086043">
        <w:rPr>
          <w:sz w:val="28"/>
        </w:rPr>
        <w:t xml:space="preserve">809 637 886,39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ED4E0B">
        <w:rPr>
          <w:sz w:val="28"/>
        </w:rPr>
        <w:t>522 578 850,54</w:t>
      </w:r>
      <w:r w:rsidR="00472DAE">
        <w:rPr>
          <w:sz w:val="28"/>
        </w:rPr>
        <w:t xml:space="preserve">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ED4E0B">
        <w:rPr>
          <w:sz w:val="28"/>
        </w:rPr>
        <w:t xml:space="preserve">489 527 238,48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980D86">
        <w:rPr>
          <w:sz w:val="28"/>
        </w:rPr>
        <w:t xml:space="preserve">56 037 007,27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DF1" w:rsidRDefault="00A40DF1" w:rsidP="00DA2E2B">
      <w:r>
        <w:separator/>
      </w:r>
    </w:p>
  </w:endnote>
  <w:endnote w:type="continuationSeparator" w:id="0">
    <w:p w:rsidR="00A40DF1" w:rsidRDefault="00A40DF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DF1" w:rsidRDefault="00A40DF1" w:rsidP="00DA2E2B">
      <w:r>
        <w:separator/>
      </w:r>
    </w:p>
  </w:footnote>
  <w:footnote w:type="continuationSeparator" w:id="0">
    <w:p w:rsidR="00A40DF1" w:rsidRDefault="00A40DF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DF1" w:rsidRDefault="00A40DF1"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40DF1" w:rsidRDefault="00A40DF1"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DF1" w:rsidRPr="00DA2E2B" w:rsidRDefault="00A40DF1"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E6C25">
      <w:rPr>
        <w:rStyle w:val="a5"/>
        <w:noProof/>
        <w:sz w:val="28"/>
        <w:szCs w:val="28"/>
      </w:rPr>
      <w:t>2</w:t>
    </w:r>
    <w:r w:rsidRPr="00DA2E2B">
      <w:rPr>
        <w:rStyle w:val="a5"/>
        <w:sz w:val="28"/>
        <w:szCs w:val="28"/>
      </w:rPr>
      <w:fldChar w:fldCharType="end"/>
    </w:r>
  </w:p>
  <w:p w:rsidR="00A40DF1" w:rsidRDefault="00A40DF1"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043"/>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0791"/>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1030"/>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C17"/>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677FA"/>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5422"/>
    <w:rsid w:val="001F681D"/>
    <w:rsid w:val="001F7100"/>
    <w:rsid w:val="002002EB"/>
    <w:rsid w:val="00200632"/>
    <w:rsid w:val="002006CC"/>
    <w:rsid w:val="00200ABB"/>
    <w:rsid w:val="00200DC7"/>
    <w:rsid w:val="00202968"/>
    <w:rsid w:val="002039C9"/>
    <w:rsid w:val="00204498"/>
    <w:rsid w:val="0020453F"/>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1F6"/>
    <w:rsid w:val="002A3C12"/>
    <w:rsid w:val="002A3E0A"/>
    <w:rsid w:val="002A6570"/>
    <w:rsid w:val="002A66C2"/>
    <w:rsid w:val="002A693B"/>
    <w:rsid w:val="002A6BFA"/>
    <w:rsid w:val="002B0977"/>
    <w:rsid w:val="002B1B53"/>
    <w:rsid w:val="002B2931"/>
    <w:rsid w:val="002B2CEE"/>
    <w:rsid w:val="002B402C"/>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032"/>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5DFC"/>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2DAE"/>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4FC2"/>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5BAB"/>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2DB5"/>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DC1"/>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6C25"/>
    <w:rsid w:val="005E730D"/>
    <w:rsid w:val="005E76F8"/>
    <w:rsid w:val="005E7910"/>
    <w:rsid w:val="005F0681"/>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27A"/>
    <w:rsid w:val="006906DB"/>
    <w:rsid w:val="006909F4"/>
    <w:rsid w:val="006917E0"/>
    <w:rsid w:val="006919A1"/>
    <w:rsid w:val="0069240F"/>
    <w:rsid w:val="006925EC"/>
    <w:rsid w:val="006929B2"/>
    <w:rsid w:val="0069307F"/>
    <w:rsid w:val="006956DB"/>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5A8D"/>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222"/>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8CD"/>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0D86"/>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63B"/>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0DF1"/>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3DD"/>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4295"/>
    <w:rsid w:val="00C950CA"/>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1E8E"/>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0B"/>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661"/>
    <w:rsid w:val="00D411EC"/>
    <w:rsid w:val="00D4199B"/>
    <w:rsid w:val="00D42408"/>
    <w:rsid w:val="00D45931"/>
    <w:rsid w:val="00D4637F"/>
    <w:rsid w:val="00D465BF"/>
    <w:rsid w:val="00D46AEC"/>
    <w:rsid w:val="00D4774D"/>
    <w:rsid w:val="00D47C22"/>
    <w:rsid w:val="00D47D4F"/>
    <w:rsid w:val="00D50B08"/>
    <w:rsid w:val="00D518C1"/>
    <w:rsid w:val="00D522EB"/>
    <w:rsid w:val="00D52F8D"/>
    <w:rsid w:val="00D5452B"/>
    <w:rsid w:val="00D54C26"/>
    <w:rsid w:val="00D55483"/>
    <w:rsid w:val="00D55541"/>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0B"/>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5B4"/>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63A"/>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80AA9-2586-4E40-9947-0363467A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2579</TotalTime>
  <Pages>10</Pages>
  <Words>3181</Words>
  <Characters>18132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173</cp:revision>
  <cp:lastPrinted>2018-10-29T10:06:00Z</cp:lastPrinted>
  <dcterms:created xsi:type="dcterms:W3CDTF">2017-10-31T04:55:00Z</dcterms:created>
  <dcterms:modified xsi:type="dcterms:W3CDTF">2021-12-17T09:42:00Z</dcterms:modified>
</cp:coreProperties>
</file>