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(в редакции решения Совета от 2</w:t>
      </w:r>
      <w:r w:rsidR="001A402D">
        <w:rPr>
          <w:sz w:val="28"/>
          <w:szCs w:val="28"/>
        </w:rPr>
        <w:t>5</w:t>
      </w:r>
      <w:r>
        <w:rPr>
          <w:sz w:val="28"/>
          <w:szCs w:val="28"/>
        </w:rPr>
        <w:t>.0</w:t>
      </w:r>
      <w:r w:rsidR="001A402D">
        <w:rPr>
          <w:sz w:val="28"/>
          <w:szCs w:val="28"/>
        </w:rPr>
        <w:t>3</w:t>
      </w:r>
      <w:r>
        <w:rPr>
          <w:sz w:val="28"/>
          <w:szCs w:val="28"/>
        </w:rPr>
        <w:t xml:space="preserve">.2022 года № </w:t>
      </w:r>
      <w:r w:rsidR="00DC3C99">
        <w:rPr>
          <w:sz w:val="28"/>
          <w:szCs w:val="28"/>
        </w:rPr>
        <w:t>11</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1A402D">
        <w:rPr>
          <w:sz w:val="28"/>
          <w:szCs w:val="28"/>
        </w:rPr>
        <w:t>906 797 128,67</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C6920">
        <w:rPr>
          <w:sz w:val="28"/>
          <w:szCs w:val="28"/>
        </w:rPr>
        <w:t xml:space="preserve">924 327 253,71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791 191 469,8</w:t>
      </w:r>
      <w:r w:rsidR="005079D9">
        <w:rPr>
          <w:sz w:val="28"/>
          <w:szCs w:val="28"/>
        </w:rPr>
        <w:t>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B82A9E">
        <w:rPr>
          <w:sz w:val="28"/>
          <w:szCs w:val="28"/>
        </w:rPr>
        <w:t xml:space="preserve">710 490 171,52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791 191 469,8</w:t>
      </w:r>
      <w:r w:rsidR="009F4F28">
        <w:rPr>
          <w:sz w:val="28"/>
          <w:szCs w:val="28"/>
        </w:rPr>
        <w:t>3</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B82A9E">
        <w:rPr>
          <w:sz w:val="28"/>
          <w:szCs w:val="28"/>
        </w:rPr>
        <w:t>710 490 171,52</w:t>
      </w:r>
      <w:r w:rsidR="00686AE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002D6D">
        <w:rPr>
          <w:sz w:val="28"/>
          <w:szCs w:val="28"/>
        </w:rPr>
        <w:t>1 940 000</w:t>
      </w:r>
      <w:r w:rsidR="001B0537">
        <w:rPr>
          <w:sz w:val="28"/>
          <w:szCs w:val="28"/>
        </w:rPr>
        <w:t>,00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61116">
        <w:rPr>
          <w:color w:val="000000" w:themeColor="text1"/>
          <w:sz w:val="28"/>
          <w:szCs w:val="28"/>
        </w:rPr>
        <w:t xml:space="preserve">1 </w:t>
      </w:r>
      <w:r w:rsidR="00BE1EA2">
        <w:rPr>
          <w:color w:val="000000" w:themeColor="text1"/>
          <w:sz w:val="28"/>
          <w:szCs w:val="28"/>
        </w:rPr>
        <w:t>7</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13F0A">
        <w:rPr>
          <w:sz w:val="28"/>
        </w:rPr>
        <w:t xml:space="preserve">627 481 549,42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9F4F28">
        <w:rPr>
          <w:sz w:val="28"/>
          <w:szCs w:val="28"/>
        </w:rPr>
        <w:t>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620243">
        <w:rPr>
          <w:sz w:val="28"/>
          <w:szCs w:val="28"/>
        </w:rPr>
        <w:t>442 691 890,73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A13F0A">
        <w:rPr>
          <w:sz w:val="28"/>
        </w:rPr>
        <w:t xml:space="preserve">56 347 135,97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bookmarkStart w:id="2" w:name="_GoBack"/>
      <w:bookmarkEnd w:id="2"/>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96999">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1BC47-BE1C-4F87-9D0D-50719A27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2799</TotalTime>
  <Pages>10</Pages>
  <Words>3094</Words>
  <Characters>17639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149</cp:revision>
  <cp:lastPrinted>2018-10-29T10:06:00Z</cp:lastPrinted>
  <dcterms:created xsi:type="dcterms:W3CDTF">2017-10-31T04:55:00Z</dcterms:created>
  <dcterms:modified xsi:type="dcterms:W3CDTF">2022-03-31T08:10:00Z</dcterms:modified>
</cp:coreProperties>
</file>