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90" w:rsidRPr="00247A7F" w:rsidRDefault="00B81D3A" w:rsidP="00247A7F">
      <w:pPr>
        <w:tabs>
          <w:tab w:val="right" w:pos="9071"/>
        </w:tabs>
        <w:rPr>
          <w:b/>
          <w:sz w:val="28"/>
          <w:szCs w:val="28"/>
        </w:rPr>
      </w:pP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76707C">
        <w:rPr>
          <w:sz w:val="28"/>
          <w:szCs w:val="28"/>
        </w:rPr>
        <w:t>16</w:t>
      </w:r>
      <w:r>
        <w:rPr>
          <w:sz w:val="28"/>
          <w:szCs w:val="28"/>
        </w:rPr>
        <w:t>.</w:t>
      </w:r>
      <w:r w:rsidR="00434A4A">
        <w:rPr>
          <w:sz w:val="28"/>
          <w:szCs w:val="28"/>
        </w:rPr>
        <w:t>1</w:t>
      </w:r>
      <w:r w:rsidR="00187B20">
        <w:rPr>
          <w:sz w:val="28"/>
          <w:szCs w:val="28"/>
        </w:rPr>
        <w:t>2</w:t>
      </w:r>
      <w:r>
        <w:rPr>
          <w:sz w:val="28"/>
          <w:szCs w:val="28"/>
        </w:rPr>
        <w:t xml:space="preserve">.2022 года № </w:t>
      </w:r>
      <w:r w:rsidR="00D47134">
        <w:rPr>
          <w:sz w:val="28"/>
          <w:szCs w:val="28"/>
        </w:rPr>
        <w:t>69</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D01349">
        <w:rPr>
          <w:sz w:val="28"/>
          <w:szCs w:val="28"/>
        </w:rPr>
        <w:t xml:space="preserve"> </w:t>
      </w:r>
      <w:r w:rsidR="00C9171D" w:rsidRPr="00B81D3A">
        <w:rPr>
          <w:sz w:val="28"/>
          <w:szCs w:val="28"/>
        </w:rPr>
        <w:t xml:space="preserve"> </w:t>
      </w:r>
      <w:r w:rsidR="00B43E50">
        <w:rPr>
          <w:sz w:val="28"/>
        </w:rPr>
        <w:t>1 109</w:t>
      </w:r>
      <w:r w:rsidR="002043B3">
        <w:rPr>
          <w:sz w:val="28"/>
        </w:rPr>
        <w:t xml:space="preserve"> 621 </w:t>
      </w:r>
      <w:r w:rsidR="00B43E50">
        <w:rPr>
          <w:sz w:val="28"/>
        </w:rPr>
        <w:t>221,53</w:t>
      </w:r>
      <w:r w:rsidR="000D284A">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B44572">
        <w:rPr>
          <w:sz w:val="28"/>
        </w:rPr>
        <w:t>1</w:t>
      </w:r>
      <w:r w:rsidR="002043B3">
        <w:rPr>
          <w:sz w:val="28"/>
        </w:rPr>
        <w:t> </w:t>
      </w:r>
      <w:r w:rsidR="00B43E50">
        <w:rPr>
          <w:sz w:val="28"/>
        </w:rPr>
        <w:t>11</w:t>
      </w:r>
      <w:r w:rsidR="002043B3">
        <w:rPr>
          <w:sz w:val="28"/>
        </w:rPr>
        <w:t>9 031 962,85</w:t>
      </w:r>
      <w:r w:rsidR="00B44572">
        <w:rPr>
          <w:sz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B43E50">
        <w:rPr>
          <w:sz w:val="28"/>
        </w:rPr>
        <w:t>9</w:t>
      </w:r>
      <w:r w:rsidR="002043B3">
        <w:rPr>
          <w:sz w:val="28"/>
        </w:rPr>
        <w:t> 410 741,32</w:t>
      </w:r>
      <w:bookmarkStart w:id="0" w:name="_GoBack"/>
      <w:bookmarkEnd w:id="0"/>
      <w:r w:rsidR="00B43E50">
        <w:rPr>
          <w:sz w:val="28"/>
        </w:rPr>
        <w:t xml:space="preserve"> </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B43E50">
        <w:rPr>
          <w:sz w:val="28"/>
          <w:szCs w:val="28"/>
        </w:rPr>
        <w:t>797 936 469,83</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B43E50">
        <w:rPr>
          <w:sz w:val="28"/>
          <w:szCs w:val="28"/>
        </w:rPr>
        <w:t xml:space="preserve">797 936 469,83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lastRenderedPageBreak/>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22FD0">
        <w:rPr>
          <w:sz w:val="28"/>
        </w:rPr>
        <w:t>17 074 960,00</w:t>
      </w:r>
      <w:r w:rsidR="00BE1EA2">
        <w:rPr>
          <w:sz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w:t>
      </w:r>
      <w:r w:rsidR="00B22FD0">
        <w:rPr>
          <w:sz w:val="28"/>
          <w:szCs w:val="28"/>
        </w:rPr>
        <w:t> 753 150,00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w:t>
      </w:r>
      <w:r w:rsidR="00B22FD0">
        <w:rPr>
          <w:sz w:val="28"/>
          <w:szCs w:val="28"/>
        </w:rPr>
        <w:t> 753 150</w:t>
      </w:r>
      <w:r w:rsidR="00297BF0">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w:t>
      </w:r>
      <w:r w:rsidR="00B22FD0">
        <w:rPr>
          <w:sz w:val="28"/>
          <w:szCs w:val="28"/>
        </w:rPr>
        <w:t> 423 626,78</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proofErr w:type="gramStart"/>
      <w:r w:rsidR="00A733DC" w:rsidRPr="001B0537">
        <w:rPr>
          <w:sz w:val="28"/>
          <w:szCs w:val="28"/>
        </w:rPr>
        <w:t>по</w:t>
      </w:r>
      <w:proofErr w:type="gramEnd"/>
      <w:r w:rsidR="00A733DC" w:rsidRPr="001B0537">
        <w:rPr>
          <w:sz w:val="28"/>
          <w:szCs w:val="28"/>
        </w:rPr>
        <w:t xml:space="preserve">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4A4B67">
        <w:rPr>
          <w:sz w:val="28"/>
          <w:szCs w:val="28"/>
        </w:rPr>
        <w:t>2</w:t>
      </w:r>
      <w:r w:rsidR="00946D0E">
        <w:rPr>
          <w:sz w:val="28"/>
          <w:szCs w:val="28"/>
        </w:rPr>
        <w:t> 95</w:t>
      </w:r>
      <w:r w:rsidR="00B22FD0">
        <w:rPr>
          <w:sz w:val="28"/>
          <w:szCs w:val="28"/>
        </w:rPr>
        <w:t>2</w:t>
      </w:r>
      <w:r w:rsidR="00946D0E">
        <w:rPr>
          <w:sz w:val="28"/>
          <w:szCs w:val="28"/>
        </w:rPr>
        <w:t> 544,00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B22FD0">
        <w:rPr>
          <w:sz w:val="28"/>
          <w:szCs w:val="28"/>
        </w:rPr>
        <w:t>7 181 666,67</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lastRenderedPageBreak/>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w:t>
      </w:r>
      <w:r w:rsidR="00C74682">
        <w:rPr>
          <w:sz w:val="28"/>
          <w:szCs w:val="28"/>
        </w:rPr>
        <w:lastRenderedPageBreak/>
        <w:t>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w:t>
      </w:r>
      <w:r w:rsidR="00A85D9D" w:rsidRPr="00615E57">
        <w:rPr>
          <w:color w:val="000000" w:themeColor="text1"/>
          <w:sz w:val="28"/>
          <w:szCs w:val="28"/>
        </w:rPr>
        <w:lastRenderedPageBreak/>
        <w:t xml:space="preserve">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E32ABE">
        <w:rPr>
          <w:color w:val="000000" w:themeColor="text1"/>
          <w:sz w:val="28"/>
          <w:szCs w:val="28"/>
        </w:rPr>
        <w:t>20 000,00</w:t>
      </w:r>
      <w:r w:rsidR="00E510AE">
        <w:rPr>
          <w:color w:val="000000" w:themeColor="text1"/>
          <w:sz w:val="28"/>
          <w:szCs w:val="28"/>
        </w:rPr>
        <w:t xml:space="preserve"> </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57451F">
        <w:rPr>
          <w:sz w:val="28"/>
        </w:rPr>
        <w:t>7</w:t>
      </w:r>
      <w:r w:rsidR="00E61A2D">
        <w:rPr>
          <w:sz w:val="28"/>
        </w:rPr>
        <w:t>91 612 927,94</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22FD0">
        <w:rPr>
          <w:sz w:val="28"/>
          <w:szCs w:val="28"/>
        </w:rPr>
        <w:t>518 064 329,36</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E7319C">
        <w:rPr>
          <w:sz w:val="28"/>
        </w:rPr>
        <w:t>62</w:t>
      </w:r>
      <w:r w:rsidR="0057451F">
        <w:rPr>
          <w:sz w:val="28"/>
        </w:rPr>
        <w:t> </w:t>
      </w:r>
      <w:r w:rsidR="00E32ABE">
        <w:rPr>
          <w:sz w:val="28"/>
        </w:rPr>
        <w:t>4</w:t>
      </w:r>
      <w:r w:rsidR="0057451F">
        <w:rPr>
          <w:sz w:val="28"/>
        </w:rPr>
        <w:t xml:space="preserve">17 515,72 </w:t>
      </w:r>
      <w:r w:rsidR="00BD6D09">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lastRenderedPageBreak/>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lastRenderedPageBreak/>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875E62"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sectPr w:rsidR="00875E62" w:rsidRPr="00BE6CDB" w:rsidSect="00DC2E5C">
      <w:headerReference w:type="even" r:id="rId11"/>
      <w:head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2043B3">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A29"/>
    <w:rsid w:val="00012EA4"/>
    <w:rsid w:val="000162F6"/>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2DA1"/>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84A"/>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3982"/>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20"/>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3B3"/>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47A7F"/>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4A4A"/>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4A1F"/>
    <w:rsid w:val="00495B0E"/>
    <w:rsid w:val="00495DCF"/>
    <w:rsid w:val="004A082F"/>
    <w:rsid w:val="004A125D"/>
    <w:rsid w:val="004A24D6"/>
    <w:rsid w:val="004A31B9"/>
    <w:rsid w:val="004A3FE9"/>
    <w:rsid w:val="004A41AA"/>
    <w:rsid w:val="004A4878"/>
    <w:rsid w:val="004A4A3E"/>
    <w:rsid w:val="004A4B67"/>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451F"/>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367B4"/>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0EB"/>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6E26"/>
    <w:rsid w:val="00726F4C"/>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07C"/>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0791E"/>
    <w:rsid w:val="00810124"/>
    <w:rsid w:val="00811FAB"/>
    <w:rsid w:val="008122EF"/>
    <w:rsid w:val="008127B3"/>
    <w:rsid w:val="00813347"/>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5993"/>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3330"/>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6ABF"/>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46D0E"/>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D7A0A"/>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33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FD0"/>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343E"/>
    <w:rsid w:val="00B43E50"/>
    <w:rsid w:val="00B442DE"/>
    <w:rsid w:val="00B44572"/>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362"/>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09"/>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3A6"/>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2C5"/>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34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2B5"/>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134"/>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2E5C"/>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5CBA"/>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2ABE"/>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0AE"/>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A2D"/>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19C"/>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24DC"/>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0E75-595D-4A3D-B22F-633DA8D8E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3095</Words>
  <Characters>17648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32</cp:revision>
  <cp:lastPrinted>2018-10-29T10:06:00Z</cp:lastPrinted>
  <dcterms:created xsi:type="dcterms:W3CDTF">2022-10-31T05:35:00Z</dcterms:created>
  <dcterms:modified xsi:type="dcterms:W3CDTF">2023-01-13T09:52:00Z</dcterms:modified>
</cp:coreProperties>
</file>